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8E" w:rsidRDefault="00651A8B" w:rsidP="00146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21370D"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>Obec Pavlov vás vyzývá k podání nabídky na veřejnou zakázku malého rozsahu</w:t>
      </w:r>
      <w:r w:rsidR="00A902CD" w:rsidRPr="0021370D"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na stavební práce</w:t>
      </w:r>
    </w:p>
    <w:p w:rsidR="00651A8B" w:rsidRPr="0021370D" w:rsidRDefault="00E0158E" w:rsidP="00146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>(zadávací podmínky a požadavky na zpracování nabídky)</w:t>
      </w:r>
    </w:p>
    <w:p w:rsidR="00651A8B" w:rsidRPr="0021370D" w:rsidRDefault="00651A8B" w:rsidP="003907A7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146CB3" w:rsidRPr="00437204" w:rsidRDefault="0021370D" w:rsidP="003907A7">
      <w:pPr>
        <w:jc w:val="both"/>
        <w:rPr>
          <w:rFonts w:ascii="Times New Roman" w:hAnsi="Times New Roman" w:cs="Times New Roman"/>
          <w:b/>
        </w:rPr>
      </w:pPr>
      <w:r w:rsidRPr="00437204">
        <w:rPr>
          <w:rFonts w:ascii="Times New Roman" w:hAnsi="Times New Roman" w:cs="Times New Roman"/>
          <w:b/>
        </w:rPr>
        <w:t xml:space="preserve">1. </w:t>
      </w:r>
      <w:r w:rsidR="00651A8B" w:rsidRPr="00437204">
        <w:rPr>
          <w:rFonts w:ascii="Times New Roman" w:hAnsi="Times New Roman" w:cs="Times New Roman"/>
          <w:b/>
        </w:rPr>
        <w:t>Zadavatel</w:t>
      </w:r>
    </w:p>
    <w:p w:rsidR="00651A8B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Název: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="00651A8B" w:rsidRPr="00437204">
        <w:rPr>
          <w:rFonts w:ascii="Times New Roman" w:hAnsi="Times New Roman" w:cs="Times New Roman"/>
        </w:rPr>
        <w:t>Obec Pavlov</w:t>
      </w:r>
    </w:p>
    <w:p w:rsidR="0021370D" w:rsidRPr="00437204" w:rsidRDefault="0021370D" w:rsidP="0021370D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Zástupce: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Zdeněk Duhajský, starosta</w:t>
      </w:r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Sídlo: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Na Návsi 88, 692 01 Pavlov</w:t>
      </w:r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IČ: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002 83 479</w:t>
      </w:r>
    </w:p>
    <w:p w:rsidR="00A902CD" w:rsidRPr="00437204" w:rsidRDefault="00A902CD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DIČ: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není plátce DPH</w:t>
      </w:r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Tel.: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+420 519 515 252</w:t>
      </w:r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Email: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hyperlink r:id="rId8" w:history="1">
        <w:r w:rsidRPr="00437204">
          <w:rPr>
            <w:rFonts w:ascii="Times New Roman" w:hAnsi="Times New Roman" w:cs="Times New Roman"/>
          </w:rPr>
          <w:t>podatelna@obec-pavlov.cz</w:t>
        </w:r>
      </w:hyperlink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Bankovní spojení:</w:t>
      </w:r>
      <w:r w:rsidRPr="00437204">
        <w:rPr>
          <w:rFonts w:ascii="Times New Roman" w:hAnsi="Times New Roman" w:cs="Times New Roman"/>
        </w:rPr>
        <w:tab/>
      </w:r>
      <w:r w:rsidR="00A902CD" w:rsidRPr="00437204">
        <w:rPr>
          <w:rFonts w:ascii="Times New Roman" w:hAnsi="Times New Roman" w:cs="Times New Roman"/>
        </w:rPr>
        <w:t>19-203</w:t>
      </w:r>
      <w:r w:rsidR="00F22BB5">
        <w:rPr>
          <w:rFonts w:ascii="Times New Roman" w:hAnsi="Times New Roman" w:cs="Times New Roman"/>
        </w:rPr>
        <w:t>6</w:t>
      </w:r>
      <w:r w:rsidR="00A902CD" w:rsidRPr="00437204">
        <w:rPr>
          <w:rFonts w:ascii="Times New Roman" w:hAnsi="Times New Roman" w:cs="Times New Roman"/>
        </w:rPr>
        <w:t>780247/0100</w:t>
      </w:r>
    </w:p>
    <w:p w:rsidR="00146CB3" w:rsidRPr="0021370D" w:rsidRDefault="00146CB3" w:rsidP="003907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1370D">
        <w:rPr>
          <w:rFonts w:ascii="Times New Roman" w:hAnsi="Times New Roman" w:cs="Times New Roman"/>
          <w:b/>
          <w:sz w:val="22"/>
          <w:szCs w:val="22"/>
        </w:rPr>
        <w:t>2. Název a popis předmětu zakázky</w:t>
      </w:r>
    </w:p>
    <w:p w:rsidR="0021370D" w:rsidRPr="00DF0348" w:rsidRDefault="0038302A" w:rsidP="002137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2.1 </w:t>
      </w:r>
      <w:r w:rsidR="0021370D" w:rsidRPr="0038302A">
        <w:rPr>
          <w:rFonts w:ascii="Times New Roman" w:hAnsi="Times New Roman" w:cs="Times New Roman"/>
          <w:sz w:val="22"/>
          <w:szCs w:val="22"/>
        </w:rPr>
        <w:t>Název</w:t>
      </w:r>
      <w:r w:rsidR="00DF0348" w:rsidRPr="0038302A">
        <w:rPr>
          <w:rFonts w:ascii="Times New Roman" w:hAnsi="Times New Roman" w:cs="Times New Roman"/>
          <w:sz w:val="22"/>
          <w:szCs w:val="22"/>
        </w:rPr>
        <w:t xml:space="preserve"> veřejné zakázky</w:t>
      </w:r>
      <w:r w:rsidR="0021370D" w:rsidRPr="0038302A">
        <w:rPr>
          <w:rFonts w:ascii="Times New Roman" w:hAnsi="Times New Roman" w:cs="Times New Roman"/>
          <w:sz w:val="22"/>
          <w:szCs w:val="22"/>
        </w:rPr>
        <w:t>:</w:t>
      </w:r>
      <w:r w:rsidR="0021370D" w:rsidRPr="00DF0348">
        <w:rPr>
          <w:rFonts w:ascii="Times New Roman" w:hAnsi="Times New Roman" w:cs="Times New Roman"/>
          <w:sz w:val="22"/>
          <w:szCs w:val="22"/>
          <w:u w:val="single"/>
        </w:rPr>
        <w:t xml:space="preserve"> Pavlov – opravy stávajících vozovek</w:t>
      </w:r>
    </w:p>
    <w:p w:rsidR="00437204" w:rsidRDefault="00437204" w:rsidP="00437204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437204" w:rsidRPr="0021370D" w:rsidRDefault="0038302A" w:rsidP="00437204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 </w:t>
      </w:r>
      <w:r w:rsidR="00437204">
        <w:rPr>
          <w:rFonts w:ascii="Times New Roman" w:hAnsi="Times New Roman" w:cs="Times New Roman"/>
          <w:sz w:val="22"/>
          <w:szCs w:val="22"/>
        </w:rPr>
        <w:t>Popis</w:t>
      </w:r>
      <w:r w:rsidR="00437204" w:rsidRPr="0021370D">
        <w:rPr>
          <w:rFonts w:ascii="Times New Roman" w:hAnsi="Times New Roman" w:cs="Times New Roman"/>
          <w:sz w:val="22"/>
          <w:szCs w:val="22"/>
        </w:rPr>
        <w:t xml:space="preserve"> plnění veřejné zakázky:</w:t>
      </w:r>
    </w:p>
    <w:p w:rsidR="00437204" w:rsidRPr="0021370D" w:rsidRDefault="00437204" w:rsidP="00437204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Jedná se o opravy místních komunikací na </w:t>
      </w:r>
      <w:r w:rsidRPr="00C61527">
        <w:rPr>
          <w:rFonts w:ascii="Times New Roman" w:hAnsi="Times New Roman" w:cs="Times New Roman"/>
          <w:sz w:val="22"/>
          <w:szCs w:val="22"/>
        </w:rPr>
        <w:t>ulicích Cimbuří</w:t>
      </w:r>
      <w:r w:rsidRPr="0021370D">
        <w:rPr>
          <w:rFonts w:ascii="Times New Roman" w:hAnsi="Times New Roman" w:cs="Times New Roman"/>
          <w:sz w:val="22"/>
          <w:szCs w:val="22"/>
        </w:rPr>
        <w:t>, Lužní, Přehradní</w:t>
      </w:r>
      <w:r>
        <w:rPr>
          <w:rFonts w:ascii="Times New Roman" w:hAnsi="Times New Roman" w:cs="Times New Roman"/>
          <w:sz w:val="22"/>
          <w:szCs w:val="22"/>
        </w:rPr>
        <w:t xml:space="preserve">. Ve všech případech bude provedeno částečné odstranění stávající poškozené zpevňující vrstvy, která bude místně srovnána a zhutněna vibračním válcem a doplněna 60 mm obalovaným kamenivem a 40 mm asfaltobetonem s patřičnými infiltračními a spojovacími postřiky. Součástí bude provedení vodících obrub a </w:t>
      </w:r>
      <w:proofErr w:type="spellStart"/>
      <w:r>
        <w:rPr>
          <w:rFonts w:ascii="Times New Roman" w:hAnsi="Times New Roman" w:cs="Times New Roman"/>
          <w:sz w:val="22"/>
          <w:szCs w:val="22"/>
        </w:rPr>
        <w:t>přídlažby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rovněž v několika místech provedení nových dešťových vpustí či jejich výšková úprava. Terén okolo komunikace bude řádně vyrovnán a upraven.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370D" w:rsidRPr="0021370D" w:rsidRDefault="00437204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Doba </w:t>
      </w:r>
      <w:r>
        <w:rPr>
          <w:rFonts w:ascii="Times New Roman" w:hAnsi="Times New Roman" w:cs="Times New Roman"/>
          <w:b/>
          <w:sz w:val="22"/>
          <w:szCs w:val="22"/>
        </w:rPr>
        <w:t xml:space="preserve">a místo 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>plnění veřejné zakázky:</w:t>
      </w:r>
    </w:p>
    <w:p w:rsidR="0038302A" w:rsidRDefault="0038302A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 Termín plnění zakázky: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Zahájení stavebních prací: </w:t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b/>
          <w:sz w:val="22"/>
          <w:szCs w:val="22"/>
        </w:rPr>
        <w:t>září 2013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Ukončení prací a předání díla: </w:t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b/>
          <w:sz w:val="22"/>
          <w:szCs w:val="22"/>
        </w:rPr>
        <w:t>29. 11. 2013, 10:00 hod</w:t>
      </w:r>
    </w:p>
    <w:p w:rsidR="00486C11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437204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 </w:t>
      </w:r>
      <w:r w:rsidR="0021370D" w:rsidRPr="00437204">
        <w:rPr>
          <w:rFonts w:ascii="Times New Roman" w:hAnsi="Times New Roman" w:cs="Times New Roman"/>
          <w:sz w:val="22"/>
          <w:szCs w:val="22"/>
        </w:rPr>
        <w:t>Zadavatel si vyhrazuje měnit termín zahájení i dokončení celé akce v návaznosti na disponibilní prostředky.</w:t>
      </w:r>
    </w:p>
    <w:p w:rsidR="00486C11" w:rsidRDefault="00486C11" w:rsidP="00486C11">
      <w:pPr>
        <w:pStyle w:val="Zkladntext"/>
        <w:spacing w:after="0"/>
        <w:rPr>
          <w:sz w:val="22"/>
          <w:szCs w:val="22"/>
        </w:rPr>
      </w:pPr>
    </w:p>
    <w:p w:rsidR="00437204" w:rsidRPr="0021370D" w:rsidRDefault="0038302A" w:rsidP="0043720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3.</w:t>
      </w:r>
      <w:r w:rsidR="00486C11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437204" w:rsidRPr="00437204">
        <w:rPr>
          <w:sz w:val="22"/>
          <w:szCs w:val="22"/>
        </w:rPr>
        <w:t>Místo plnění veřejné zakázky: Obec Pavlov</w:t>
      </w:r>
      <w:r w:rsidR="00437204">
        <w:rPr>
          <w:sz w:val="22"/>
          <w:szCs w:val="22"/>
        </w:rPr>
        <w:t xml:space="preserve"> -</w:t>
      </w:r>
      <w:r w:rsidR="00437204" w:rsidRPr="0021370D">
        <w:rPr>
          <w:sz w:val="22"/>
          <w:szCs w:val="22"/>
        </w:rPr>
        <w:t xml:space="preserve"> </w:t>
      </w:r>
      <w:r w:rsidR="00437204" w:rsidRPr="00C61527">
        <w:rPr>
          <w:sz w:val="22"/>
          <w:szCs w:val="22"/>
        </w:rPr>
        <w:t>ulice Cimbuří</w:t>
      </w:r>
      <w:r w:rsidR="00437204">
        <w:rPr>
          <w:sz w:val="22"/>
          <w:szCs w:val="22"/>
        </w:rPr>
        <w:t>, Lužní, Přehradní</w:t>
      </w:r>
      <w:r w:rsidR="00437204" w:rsidRPr="0021370D">
        <w:rPr>
          <w:sz w:val="22"/>
          <w:szCs w:val="22"/>
        </w:rPr>
        <w:t xml:space="preserve"> </w:t>
      </w:r>
    </w:p>
    <w:p w:rsid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370D" w:rsidRPr="0021370D" w:rsidRDefault="00437204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21370D" w:rsidRPr="0021370D">
        <w:rPr>
          <w:rFonts w:ascii="Times New Roman" w:hAnsi="Times New Roman" w:cs="Times New Roman"/>
          <w:b/>
          <w:bCs/>
          <w:sz w:val="22"/>
          <w:szCs w:val="22"/>
        </w:rPr>
        <w:t>. Lhůta a místo pro podání nabídek, vázanost nabídkou</w:t>
      </w: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4.1 </w:t>
      </w:r>
      <w:r w:rsidR="0021370D" w:rsidRPr="0038302A">
        <w:rPr>
          <w:rFonts w:ascii="Times New Roman" w:hAnsi="Times New Roman" w:cs="Times New Roman"/>
          <w:sz w:val="22"/>
          <w:szCs w:val="22"/>
        </w:rPr>
        <w:t>Lhůta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konec běhu lhůty pro podání nabídek: </w:t>
      </w:r>
      <w:r w:rsidR="00437204" w:rsidRPr="00437204">
        <w:rPr>
          <w:rFonts w:ascii="Times New Roman" w:hAnsi="Times New Roman" w:cs="Times New Roman"/>
          <w:b/>
          <w:sz w:val="22"/>
          <w:szCs w:val="22"/>
        </w:rPr>
        <w:t>16</w:t>
      </w:r>
      <w:r w:rsidR="0021370D" w:rsidRPr="00437204">
        <w:rPr>
          <w:rFonts w:ascii="Times New Roman" w:hAnsi="Times New Roman" w:cs="Times New Roman"/>
          <w:b/>
          <w:sz w:val="22"/>
          <w:szCs w:val="22"/>
        </w:rPr>
        <w:t>.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7204">
        <w:rPr>
          <w:rFonts w:ascii="Times New Roman" w:hAnsi="Times New Roman" w:cs="Times New Roman"/>
          <w:b/>
          <w:sz w:val="22"/>
          <w:szCs w:val="22"/>
        </w:rPr>
        <w:t>9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. 2013 do 9.00 hod </w:t>
      </w: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4.2 </w:t>
      </w:r>
      <w:r w:rsidR="0021370D" w:rsidRPr="0038302A">
        <w:rPr>
          <w:rFonts w:ascii="Times New Roman" w:hAnsi="Times New Roman" w:cs="Times New Roman"/>
          <w:sz w:val="22"/>
          <w:szCs w:val="22"/>
        </w:rPr>
        <w:t>Místo: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Obecní úřad </w:t>
      </w:r>
      <w:r w:rsidR="00437204">
        <w:rPr>
          <w:rFonts w:ascii="Times New Roman" w:hAnsi="Times New Roman" w:cs="Times New Roman"/>
          <w:sz w:val="22"/>
          <w:szCs w:val="22"/>
        </w:rPr>
        <w:t>Pavlov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, </w:t>
      </w:r>
      <w:r w:rsidR="00437204">
        <w:rPr>
          <w:rFonts w:ascii="Times New Roman" w:hAnsi="Times New Roman" w:cs="Times New Roman"/>
          <w:sz w:val="22"/>
          <w:szCs w:val="22"/>
        </w:rPr>
        <w:t>Na Návsi 88, 692 01 Pavlov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4.3 Nabídku lze doručit poštou nebo osobně na adresu zadavatele.</w:t>
      </w:r>
    </w:p>
    <w:p w:rsidR="0038302A" w:rsidRPr="0038302A" w:rsidRDefault="0038302A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4.4 </w:t>
      </w:r>
      <w:r w:rsidRPr="0038302A">
        <w:rPr>
          <w:rFonts w:ascii="Times New Roman" w:hAnsi="Times New Roman" w:cs="Times New Roman"/>
          <w:sz w:val="22"/>
          <w:szCs w:val="22"/>
        </w:rPr>
        <w:t>Nabídka musí být doručena v řádně uzavřené obálce označené názvem akce a opatřena na uzavření obálky razítkem, případně podpisem uchazeče a výrazně označena slovy neotevírat.</w:t>
      </w:r>
    </w:p>
    <w:p w:rsidR="0038302A" w:rsidRPr="0038302A" w:rsidRDefault="0038302A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4.5 </w:t>
      </w:r>
      <w:r w:rsidRPr="0038302A">
        <w:rPr>
          <w:rFonts w:ascii="Times New Roman" w:hAnsi="Times New Roman" w:cs="Times New Roman"/>
          <w:sz w:val="22"/>
          <w:szCs w:val="22"/>
        </w:rPr>
        <w:t>Na obálce musí být adresa uchazeče, na níž je možné zaslat oznámení podle § 71 odst. 6, 7 zákona č. 137/2006 Sb. v platném znění</w:t>
      </w:r>
    </w:p>
    <w:p w:rsidR="0038302A" w:rsidRPr="0038302A" w:rsidRDefault="0038302A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4.6 </w:t>
      </w:r>
      <w:r w:rsidRPr="0038302A">
        <w:rPr>
          <w:rFonts w:ascii="Times New Roman" w:hAnsi="Times New Roman" w:cs="Times New Roman"/>
          <w:sz w:val="22"/>
          <w:szCs w:val="22"/>
        </w:rPr>
        <w:t xml:space="preserve">Nabídky musí být zadavateli doručeny před uplynutím lhůty pro podání nabídek podle bodu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8302A">
        <w:rPr>
          <w:rFonts w:ascii="Times New Roman" w:hAnsi="Times New Roman" w:cs="Times New Roman"/>
          <w:sz w:val="22"/>
          <w:szCs w:val="22"/>
        </w:rPr>
        <w:t>.1 této výzvy.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302A">
        <w:rPr>
          <w:rFonts w:ascii="Times New Roman" w:hAnsi="Times New Roman" w:cs="Times New Roman"/>
          <w:sz w:val="22"/>
          <w:szCs w:val="22"/>
        </w:rPr>
        <w:t>Rozhodným okamžikem pro podání nabídky je převzetí nabídky zadavatelem. Zadavatel nezodpovídá za zpoždění dodání nabídky způsobené poštou či pověřenou osobou.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302A">
        <w:rPr>
          <w:rFonts w:ascii="Times New Roman" w:hAnsi="Times New Roman" w:cs="Times New Roman"/>
          <w:sz w:val="22"/>
          <w:szCs w:val="22"/>
        </w:rPr>
        <w:t xml:space="preserve">Nabídky doručené po uplynutí stanovené lhůty pro podání nabídek uvedené v bodě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8302A">
        <w:rPr>
          <w:rFonts w:ascii="Times New Roman" w:hAnsi="Times New Roman" w:cs="Times New Roman"/>
          <w:sz w:val="22"/>
          <w:szCs w:val="22"/>
        </w:rPr>
        <w:t>.1 této výzvy budou ze zadávacího řízení vyřazeny.</w:t>
      </w:r>
    </w:p>
    <w:p w:rsid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4.7 </w:t>
      </w:r>
      <w:r w:rsidR="0021370D" w:rsidRPr="0038302A">
        <w:rPr>
          <w:rFonts w:ascii="Times New Roman" w:hAnsi="Times New Roman" w:cs="Times New Roman"/>
          <w:sz w:val="22"/>
          <w:szCs w:val="22"/>
        </w:rPr>
        <w:t>Vázanost nabídky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 je 30 dní ode dne skončení lhůty pro podání nabídky.</w:t>
      </w:r>
    </w:p>
    <w:p w:rsidR="00486C11" w:rsidRPr="00486C11" w:rsidRDefault="00486C11" w:rsidP="00486C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4.8 </w:t>
      </w:r>
      <w:r w:rsidRPr="00486C11">
        <w:rPr>
          <w:rFonts w:ascii="Times New Roman" w:hAnsi="Times New Roman" w:cs="Times New Roman"/>
          <w:sz w:val="22"/>
          <w:szCs w:val="22"/>
        </w:rPr>
        <w:t>Obálku opatřete nápisem:</w:t>
      </w:r>
    </w:p>
    <w:p w:rsidR="00486C11" w:rsidRPr="00486C11" w:rsidRDefault="00486C11" w:rsidP="00486C11">
      <w:pPr>
        <w:pStyle w:val="Nadpis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86C11">
        <w:rPr>
          <w:rFonts w:ascii="Times New Roman" w:hAnsi="Times New Roman" w:cs="Times New Roman"/>
          <w:sz w:val="24"/>
          <w:szCs w:val="24"/>
        </w:rPr>
        <w:lastRenderedPageBreak/>
        <w:t>Neotevírat – veřejná zakázka malého rozsahu</w:t>
      </w:r>
    </w:p>
    <w:p w:rsidR="00486C11" w:rsidRPr="00486C11" w:rsidRDefault="00486C11" w:rsidP="00486C11">
      <w:pPr>
        <w:pStyle w:val="Nadpis3"/>
        <w:spacing w:before="60" w:after="0"/>
        <w:rPr>
          <w:rFonts w:ascii="Times New Roman" w:hAnsi="Times New Roman" w:cs="Times New Roman"/>
          <w:i/>
          <w:iCs/>
          <w:caps/>
          <w:sz w:val="24"/>
          <w:szCs w:val="24"/>
        </w:rPr>
      </w:pPr>
      <w:r w:rsidRPr="00486C11">
        <w:rPr>
          <w:rFonts w:ascii="Times New Roman" w:hAnsi="Times New Roman" w:cs="Times New Roman"/>
          <w:i/>
          <w:iCs/>
          <w:caps/>
          <w:sz w:val="24"/>
          <w:szCs w:val="24"/>
        </w:rPr>
        <w:t>Pavlov – opravy stávajících vozovek</w:t>
      </w:r>
    </w:p>
    <w:p w:rsidR="00486C11" w:rsidRPr="0021370D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5. Prohlídka místa plnění veřejné zakázky</w:t>
      </w: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Vzhledem ke skutečnosti, že místo budoucího provádění je přístupné běžně veřejnosti, neorganizuje zadavatel obhlídku místa plnění. </w:t>
      </w:r>
    </w:p>
    <w:p w:rsid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6. Způsob hodnocení nabídek</w:t>
      </w:r>
    </w:p>
    <w:p w:rsidR="0021370D" w:rsidRPr="0021370D" w:rsidRDefault="0038302A" w:rsidP="0021370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6.1 </w:t>
      </w:r>
      <w:r w:rsidR="0021370D" w:rsidRPr="0021370D">
        <w:rPr>
          <w:rFonts w:ascii="Times New Roman" w:hAnsi="Times New Roman" w:cs="Times New Roman"/>
          <w:b/>
          <w:sz w:val="22"/>
          <w:szCs w:val="22"/>
          <w:u w:val="single"/>
        </w:rPr>
        <w:t>Hodnotící kritéria</w:t>
      </w: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Zadavatel stanovuje v souladu se zákonem č. 137/2006 Sb. o veřejných zakázkách v platném znění dle § 78, odst. 1, písm. b) </w:t>
      </w:r>
      <w:r w:rsidRPr="0021370D">
        <w:rPr>
          <w:rFonts w:ascii="Times New Roman" w:hAnsi="Times New Roman" w:cs="Times New Roman"/>
          <w:b/>
          <w:sz w:val="22"/>
          <w:szCs w:val="22"/>
          <w:u w:val="single"/>
        </w:rPr>
        <w:t>nejnižší nabídkovou cenu bez DPH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DF0348" w:rsidRDefault="00DF0348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 </w:t>
      </w:r>
      <w:r w:rsidR="0021370D" w:rsidRPr="0021370D">
        <w:rPr>
          <w:rFonts w:ascii="Times New Roman" w:hAnsi="Times New Roman" w:cs="Times New Roman"/>
          <w:sz w:val="22"/>
          <w:szCs w:val="22"/>
        </w:rPr>
        <w:t>Váha hodnotícího kritéria: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7073"/>
        <w:gridCol w:w="1407"/>
      </w:tblGrid>
      <w:tr w:rsidR="0021370D" w:rsidRPr="0021370D" w:rsidTr="00BA793F">
        <w:trPr>
          <w:trHeight w:val="622"/>
        </w:trPr>
        <w:tc>
          <w:tcPr>
            <w:tcW w:w="700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Poř</w:t>
            </w:r>
            <w:proofErr w:type="spellEnd"/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č.</w:t>
            </w:r>
          </w:p>
        </w:tc>
        <w:tc>
          <w:tcPr>
            <w:tcW w:w="7073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Název kritéria</w:t>
            </w:r>
          </w:p>
        </w:tc>
        <w:tc>
          <w:tcPr>
            <w:tcW w:w="1407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Váha kritéria %</w:t>
            </w:r>
          </w:p>
        </w:tc>
      </w:tr>
      <w:tr w:rsidR="0021370D" w:rsidRPr="0021370D" w:rsidTr="00BA793F">
        <w:trPr>
          <w:trHeight w:val="561"/>
        </w:trPr>
        <w:tc>
          <w:tcPr>
            <w:tcW w:w="700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7073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Cena díla bez DPH</w:t>
            </w:r>
          </w:p>
        </w:tc>
        <w:tc>
          <w:tcPr>
            <w:tcW w:w="1407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</w:tr>
    </w:tbl>
    <w:p w:rsidR="0038302A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 </w:t>
      </w:r>
      <w:r w:rsidR="0021370D" w:rsidRPr="0021370D">
        <w:rPr>
          <w:rFonts w:ascii="Times New Roman" w:hAnsi="Times New Roman" w:cs="Times New Roman"/>
          <w:sz w:val="22"/>
          <w:szCs w:val="22"/>
        </w:rPr>
        <w:t>Sestavení celkového pořadí nabídek:</w:t>
      </w:r>
    </w:p>
    <w:p w:rsidR="0021370D" w:rsidRPr="0021370D" w:rsidRDefault="0021370D" w:rsidP="0021370D">
      <w:pPr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Nabídky budou vzájemně cenově posouzeny a nabídka, která bude mít nejnižší cenu bez DPH, se umístí na prvním místě.</w:t>
      </w:r>
    </w:p>
    <w:p w:rsidR="0021370D" w:rsidRPr="0021370D" w:rsidRDefault="0021370D" w:rsidP="0021370D">
      <w:pPr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Další pořadí komise stanoví podle výše jednotlivých cen bez DPH, tj. sestaví pořadí od druhé nejnižší nabídkové ceny po poslední hodnocenou nabídkovou cenu.</w:t>
      </w: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7. Jazyk nabídky</w:t>
      </w:r>
    </w:p>
    <w:p w:rsidR="0021370D" w:rsidRPr="0021370D" w:rsidRDefault="0038302A" w:rsidP="002137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7.1 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t xml:space="preserve">Nabídka (vč. návrhu smlouvy a dokladů prokazujících kvalifikaci) a ostatní písemnosti musí být předloženy v českém </w:t>
      </w:r>
      <w:r w:rsidR="0021370D" w:rsidRPr="0021370D">
        <w:rPr>
          <w:rFonts w:ascii="Times New Roman" w:hAnsi="Times New Roman" w:cs="Times New Roman"/>
          <w:sz w:val="22"/>
          <w:szCs w:val="22"/>
        </w:rPr>
        <w:t>jazyce.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t xml:space="preserve"> Zahraniční dodavatel předkládá doklady prokazující splnění kvalifikace v původním jazyce s připojením jejich úředně ověřeného překladu do českého jazyka.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8. Požadavky zadavatele na prokázání kvalifikace</w:t>
      </w:r>
    </w:p>
    <w:p w:rsidR="0021370D" w:rsidRPr="0021370D" w:rsidRDefault="0038302A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8.1 </w:t>
      </w:r>
      <w:r w:rsidR="0021370D" w:rsidRPr="0021370D">
        <w:rPr>
          <w:rFonts w:ascii="Times New Roman" w:hAnsi="Times New Roman" w:cs="Times New Roman"/>
          <w:sz w:val="22"/>
          <w:szCs w:val="22"/>
        </w:rPr>
        <w:t>Uchazeč je povinen v souladu s § 50, § 51, § 52 zákona č. 137/2006 Sb. o veřejných zakázkách (dále jen zákon) prokázat splnění kvalifikace.</w:t>
      </w:r>
    </w:p>
    <w:p w:rsidR="0021370D" w:rsidRPr="0021370D" w:rsidRDefault="0038302A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8.2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1370D" w:rsidRPr="0021370D">
        <w:rPr>
          <w:rFonts w:ascii="Times New Roman" w:hAnsi="Times New Roman" w:cs="Times New Roman"/>
          <w:sz w:val="22"/>
          <w:szCs w:val="22"/>
          <w:u w:val="single"/>
        </w:rPr>
        <w:t>Veškeré doklady požadované k prokázání splnění kvalifikace mohou být předloženy v souladu s</w:t>
      </w:r>
      <w:r w:rsidR="0021370D" w:rsidRPr="0021370D">
        <w:rPr>
          <w:rFonts w:ascii="Times New Roman" w:hAnsi="Times New Roman" w:cs="Times New Roman"/>
          <w:sz w:val="22"/>
          <w:szCs w:val="22"/>
          <w:u w:val="single"/>
        </w:rPr>
        <w:br/>
        <w:t>§ 62, odst. 3) zákona formou čestného prohlášení, z jehož obsahu bude zřejmé, že dodavatel kvalifikační předpoklady požadované zadavatelem splňuje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. Uchazeč, se kterým má být uzavřena smlouva je povinen před jejím uzavřením předložit zadavateli originály nebo úředně ověřené kopie dokladů prokazujících splnění kvalifikace. Nesplnění této povinnosti se považuje za neposkytnutí součinnosti k uzavření smlouvy. Uchazeči mohou kvalifikační doklady do nabídky předložit rovněž v prosté kopii nebo v originálu nebo v úředně ověřené kopii. Je-li zadavatelem vyžadováno čestné prohlášení, musí být podepsáno statutárním orgánem uchazeče (popř. všemi členy statutárního orgánu), v případě podpisu jinou osobou musí být originál nebo úředně ověřená kopie zmocnění této osoby součástí dokladů, kterými uchazeč prokazuje splnění kvalifikace. 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8.3 </w:t>
      </w:r>
      <w:r w:rsidR="0021370D" w:rsidRPr="0021370D">
        <w:rPr>
          <w:rFonts w:ascii="Times New Roman" w:hAnsi="Times New Roman" w:cs="Times New Roman"/>
          <w:sz w:val="22"/>
          <w:szCs w:val="22"/>
        </w:rPr>
        <w:t>Splněním kvalifikace se rozumí:</w:t>
      </w:r>
    </w:p>
    <w:p w:rsidR="0021370D" w:rsidRPr="0021370D" w:rsidRDefault="0021370D" w:rsidP="0021370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a)</w:t>
      </w:r>
      <w:r w:rsidRPr="0021370D">
        <w:rPr>
          <w:rFonts w:ascii="Times New Roman" w:hAnsi="Times New Roman" w:cs="Times New Roman"/>
          <w:sz w:val="22"/>
          <w:szCs w:val="22"/>
        </w:rPr>
        <w:tab/>
        <w:t>splnění základních kvalifikačních kritérií stanovených v § 53,</w:t>
      </w:r>
    </w:p>
    <w:p w:rsidR="0021370D" w:rsidRPr="0021370D" w:rsidRDefault="0021370D" w:rsidP="002137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b) </w:t>
      </w:r>
      <w:r w:rsidRPr="0021370D">
        <w:rPr>
          <w:rFonts w:ascii="Times New Roman" w:hAnsi="Times New Roman" w:cs="Times New Roman"/>
          <w:sz w:val="22"/>
          <w:szCs w:val="22"/>
        </w:rPr>
        <w:tab/>
        <w:t>splnění dalších kvalifikačních kritérií stanovených zadavatelem, jimiž zadavatel vymezí odpovídající úroveň odborné způsobilosti dodavatele a zabezpečení jakosti podle druhu, rozsahu a složitosti zadávané veřejné zakázky,</w:t>
      </w:r>
    </w:p>
    <w:p w:rsidR="0021370D" w:rsidRPr="0021370D" w:rsidRDefault="0021370D" w:rsidP="002137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c)</w:t>
      </w:r>
      <w:r w:rsidRPr="0021370D">
        <w:rPr>
          <w:rFonts w:ascii="Times New Roman" w:hAnsi="Times New Roman" w:cs="Times New Roman"/>
          <w:sz w:val="22"/>
          <w:szCs w:val="22"/>
        </w:rPr>
        <w:tab/>
        <w:t>prokázání oprávnění k podnikání, včetně předložení výpisu z obchodního rejstříku či jiné evidence ne starší než 90 dnů, má-li v ní být uchazeč nebo zájemce zapsán podle zvláštních právních předpisů; oprávnění k podnikání může uchazeč nebo zájemce doložit v prosté kopii, ve stejnopise nebo v úředně ověřené kopii a</w:t>
      </w:r>
    </w:p>
    <w:p w:rsidR="00DF0348" w:rsidRDefault="00DF0348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8.4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Pokud podává nabídku více dodavatelů společně, musí každý z nich splnit kvalifikaci podle písm. a) předchozího odstavce; kvalifikaci podle b) až c) předchozího odstavce musí splnit alespoň pomocí </w:t>
      </w:r>
      <w:r w:rsidR="00486C11">
        <w:rPr>
          <w:rFonts w:ascii="Times New Roman" w:hAnsi="Times New Roman" w:cs="Times New Roman"/>
          <w:sz w:val="22"/>
          <w:szCs w:val="22"/>
        </w:rPr>
        <w:t>subdodavatele.</w:t>
      </w:r>
    </w:p>
    <w:p w:rsidR="0021370D" w:rsidRPr="0021370D" w:rsidRDefault="0021370D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8.5 </w:t>
      </w:r>
      <w:r w:rsidR="0021370D" w:rsidRPr="0021370D">
        <w:rPr>
          <w:rFonts w:ascii="Times New Roman" w:hAnsi="Times New Roman" w:cs="Times New Roman"/>
          <w:sz w:val="22"/>
          <w:szCs w:val="22"/>
        </w:rPr>
        <w:t>Uchazeči mohou k prokazování kvalifikace využít osvědčení certifikačního orgánu o splnění kritérií národního kvalifikačního a klasifikačního systému stavebních dodavatelů. Uchazeči zapsaní v seznamu kvalifikovaných dodavatelů mohou prokázat splnění kvalifikace dle písm. a), c), předchozího odstavce výpisem z tohoto seznamu, ne starším než 90 dnů. V takovém případě nebude zadavatel požadovat prokázání skutečností zapsaných do seznamu kvalifikovaných dodavatelů jinými doklady.</w:t>
      </w:r>
    </w:p>
    <w:p w:rsidR="0021370D" w:rsidRPr="0021370D" w:rsidRDefault="0021370D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8.6 </w:t>
      </w:r>
      <w:r w:rsidR="0021370D" w:rsidRPr="0021370D">
        <w:rPr>
          <w:rFonts w:ascii="Times New Roman" w:hAnsi="Times New Roman" w:cs="Times New Roman"/>
          <w:sz w:val="22"/>
          <w:szCs w:val="22"/>
        </w:rPr>
        <w:t>Pokud podává nabídku více dodavatelů společně, jsou povinni přiložit k nabídce originál nebo ověřenou kopii listiny, z níž vyplývá, že všichni tito dodavatelé budou vůči zadavateli a jakýmkoliv třetím osobám z jakýchkoliv závazků vzniklých v souvislosti s plněním předmětu veřejné zakázky či vzniklých v důsledku prodlení či jiného porušení smluvních nebo jiných povinností v souvislosti s plněním předmětu veřejné zakázky zavázáni společně a nerozdílně.</w:t>
      </w:r>
    </w:p>
    <w:p w:rsidR="0021370D" w:rsidRPr="0021370D" w:rsidRDefault="0021370D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8.7 </w:t>
      </w:r>
      <w:r w:rsidR="0021370D" w:rsidRPr="0021370D">
        <w:rPr>
          <w:rFonts w:ascii="Times New Roman" w:hAnsi="Times New Roman" w:cs="Times New Roman"/>
          <w:sz w:val="22"/>
          <w:szCs w:val="22"/>
        </w:rPr>
        <w:t>Zahraniční osoba prokazuje splnění základních kvalifikačních kritérií doklady podle právního řádu platného v zemi jejího sídla, případně bydliště nebo výpisem ze seznamu kvalifikovaných dodavatelů. Doklady prokazující splnění kvalifikace předkládá zahraniční osoba v původním jazyce současně s jejich úředně ověřeným překladem do českého jazyka.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8302A">
        <w:rPr>
          <w:rFonts w:ascii="Times New Roman" w:hAnsi="Times New Roman" w:cs="Times New Roman"/>
          <w:b/>
          <w:sz w:val="22"/>
          <w:szCs w:val="22"/>
        </w:rPr>
        <w:t>8.8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1370D" w:rsidRPr="0021370D">
        <w:rPr>
          <w:rFonts w:ascii="Times New Roman" w:hAnsi="Times New Roman" w:cs="Times New Roman"/>
          <w:b/>
          <w:sz w:val="22"/>
          <w:szCs w:val="22"/>
          <w:u w:val="single"/>
        </w:rPr>
        <w:t>Základní kvalifikační kritéria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Pr="0038302A" w:rsidRDefault="0038302A" w:rsidP="0038302A">
      <w:pPr>
        <w:tabs>
          <w:tab w:val="left" w:pos="9072"/>
        </w:tabs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Uchazeč prokáže kvalifikační předpoklady pro plnění veřejné zakázky takto: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8</w:t>
      </w:r>
      <w:r w:rsidRPr="0038302A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8</w:t>
      </w:r>
      <w:r w:rsidRPr="0038302A">
        <w:rPr>
          <w:rFonts w:ascii="Times New Roman" w:hAnsi="Times New Roman" w:cs="Times New Roman"/>
          <w:u w:val="single"/>
        </w:rPr>
        <w:t>.1 Předloží čestné prohlášení, kde uvede, že splňuje základní kvalifikační předpoklady neboť:</w:t>
      </w:r>
      <w:r w:rsidRPr="0038302A">
        <w:rPr>
          <w:rFonts w:ascii="Times New Roman" w:hAnsi="Times New Roman" w:cs="Times New Roman"/>
          <w:u w:val="single"/>
        </w:rPr>
        <w:br/>
      </w:r>
      <w:r w:rsidRPr="0038302A">
        <w:rPr>
          <w:rFonts w:ascii="Times New Roman" w:hAnsi="Times New Roman" w:cs="Times New Roman"/>
        </w:rPr>
        <w:t>a)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lastRenderedPageBreak/>
        <w:t>c) v posledních třech letech nenaplnil skutkovou podstatu jednání nekalé soutěže formou podplácení podle zvláštního právního předpisu,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d) vůči jehož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e) není v likvidaci,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f) nemá v evidenci daní zachyceny daňové nedoplatky, a to jak v České republice, tak v zemi sídla, místa podnikání či bydliště dodavatele,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g) nemá nedoplatek na pojistném a na penále na veřejné zdravotní pojištění, a to jak v České republice, tak v zemi sídla, místa podnikání či bydliště dodavatele,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jiné osoby odpovídající za činnost dodavatele, vztahuje se tento předpoklad na tyto osoby,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j) není veden v rejstříku osob se zákazem plnění veřejných zakázek,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k) kterému nebyla v posledních v posledních 3 letech pravomocně uložena pokuta za umožnění výkonu nelegální práce podle zvláštního právního předpisu,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8.8.2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Prokázání základního kvalifikačního kritéria dle § 53 odst. 1, písm. i) je myšleno prokázání osobou, která bude vykonávat funkci „stavbyvedoucího“ podle zákona č. 183/2006 Sb. (stavební zákon). 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8.8.3 </w:t>
      </w:r>
      <w:r w:rsidR="0021370D" w:rsidRPr="0021370D">
        <w:rPr>
          <w:rFonts w:ascii="Times New Roman" w:hAnsi="Times New Roman" w:cs="Times New Roman"/>
          <w:sz w:val="22"/>
          <w:szCs w:val="22"/>
          <w:u w:val="single"/>
        </w:rPr>
        <w:t>K tomuto prohlášení bude připojen písemný závazek autorizované osoby, kde prohlásí, že bude vykonávat funkci stavbyvedoucího pro výše uvedenou konkrétní stavbu a konkrétního dodavatele (pozor toto prohlášení konkrétní osoby nenahrazuje výpis SKD ani SCSD, rovněž za tuto osobu nemůže prohlásit zaměstnavatel nebo obecně uchazeč)!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8.8.4 </w:t>
      </w:r>
      <w:r w:rsidR="0021370D" w:rsidRPr="0021370D">
        <w:rPr>
          <w:rFonts w:ascii="Times New Roman" w:hAnsi="Times New Roman" w:cs="Times New Roman"/>
          <w:sz w:val="22"/>
          <w:szCs w:val="22"/>
        </w:rPr>
        <w:t>Všechny výše uvedené odstavce (vyjma čestného prohlášení stavbyvedoucího) může dodavatel nahradit výpisem ze seznamu kvalifikovaných dodavatelů dle § 125, jež nesmí být starší jak 3 měsíce ke dni prokázání splnění kvalifikace, tj. ke dni posouzení nabídek zadavatelem.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8.8.5 </w:t>
      </w:r>
      <w:r w:rsidR="0021370D" w:rsidRPr="0021370D">
        <w:rPr>
          <w:rFonts w:ascii="Times New Roman" w:hAnsi="Times New Roman" w:cs="Times New Roman"/>
          <w:sz w:val="22"/>
          <w:szCs w:val="22"/>
        </w:rPr>
        <w:t>Dodavatelé mohou prokázat splnění kvalifikace certifikátem vydaným v rámci systému certifikovaných dodavatelů, který obsahuje náležitosti stanovené v § 139 zákona, a údaje v něm uvedené jsou platné nejméně k poslednímu dni lhůty pro prokázání splnění kvalifikace. Tento certifikát nahrazuje splnění kvalifikace dle § 53 odst. 1 v plném rozsahu. Certifikát dodavatelé předloží ve lhůtě pro prokázání splnění kvalifikace a certifikát musí být platný ve smyslu § 140 odst. 1 zákona, tj. nesmí být starší jak jeden rok.</w:t>
      </w:r>
    </w:p>
    <w:p w:rsidR="00486C11" w:rsidRDefault="00486C11" w:rsidP="0021370D">
      <w:pPr>
        <w:spacing w:before="120" w:line="28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21370D" w:rsidRPr="0021370D" w:rsidRDefault="00486C11" w:rsidP="0021370D">
      <w:pPr>
        <w:spacing w:before="120" w:line="28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86C11">
        <w:rPr>
          <w:rFonts w:ascii="Times New Roman" w:hAnsi="Times New Roman" w:cs="Times New Roman"/>
          <w:b/>
          <w:sz w:val="22"/>
          <w:szCs w:val="22"/>
        </w:rPr>
        <w:t>8.8.6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1370D" w:rsidRPr="0021370D">
        <w:rPr>
          <w:rFonts w:ascii="Times New Roman" w:hAnsi="Times New Roman" w:cs="Times New Roman"/>
          <w:b/>
          <w:sz w:val="22"/>
          <w:szCs w:val="22"/>
          <w:u w:val="single"/>
        </w:rPr>
        <w:t>Profesní kvalifikační kritéria</w:t>
      </w:r>
    </w:p>
    <w:p w:rsidR="0021370D" w:rsidRPr="0021370D" w:rsidRDefault="0021370D" w:rsidP="0021370D">
      <w:pPr>
        <w:spacing w:before="120" w:line="28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370D">
        <w:rPr>
          <w:rFonts w:ascii="Times New Roman" w:hAnsi="Times New Roman" w:cs="Times New Roman"/>
          <w:bCs/>
          <w:sz w:val="22"/>
          <w:szCs w:val="22"/>
        </w:rPr>
        <w:t>Splňuje dodavatel, který předloží:</w:t>
      </w:r>
    </w:p>
    <w:p w:rsidR="0021370D" w:rsidRPr="0021370D" w:rsidRDefault="0021370D" w:rsidP="0021370D">
      <w:pPr>
        <w:numPr>
          <w:ilvl w:val="0"/>
          <w:numId w:val="9"/>
        </w:numPr>
        <w:spacing w:before="120" w:line="28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370D">
        <w:rPr>
          <w:rFonts w:ascii="Times New Roman" w:hAnsi="Times New Roman" w:cs="Times New Roman"/>
          <w:bCs/>
          <w:sz w:val="22"/>
          <w:szCs w:val="22"/>
        </w:rPr>
        <w:t xml:space="preserve">výpis z obchodního rejstříku, pokud je v něm zapsán </w:t>
      </w:r>
      <w:r w:rsidRPr="0021370D">
        <w:rPr>
          <w:rFonts w:ascii="Times New Roman" w:hAnsi="Times New Roman" w:cs="Times New Roman"/>
          <w:sz w:val="22"/>
          <w:szCs w:val="22"/>
        </w:rPr>
        <w:t xml:space="preserve">– 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prostá kopie nebo originál či úředně ověřená kopie ne starší 90 dnů</w:t>
      </w:r>
    </w:p>
    <w:p w:rsidR="0021370D" w:rsidRPr="0021370D" w:rsidRDefault="0021370D" w:rsidP="0021370D">
      <w:pPr>
        <w:numPr>
          <w:ilvl w:val="0"/>
          <w:numId w:val="9"/>
        </w:numPr>
        <w:spacing w:before="120" w:line="28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370D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doklad o oprávnění podnikání podle zvláštních právních předpisů v rozsahu odpovídajícím předmětu veřejné zakázky (živnostenský list pro živnost 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>provádění staveb jejich změn a odstraňování</w:t>
      </w:r>
      <w:r w:rsidRPr="0021370D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Pr="0021370D">
        <w:rPr>
          <w:rFonts w:ascii="Times New Roman" w:hAnsi="Times New Roman" w:cs="Times New Roman"/>
          <w:sz w:val="22"/>
          <w:szCs w:val="22"/>
        </w:rPr>
        <w:t xml:space="preserve">– 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prostá kopie nebo originál či úředně ověřená kopie</w:t>
      </w:r>
    </w:p>
    <w:p w:rsidR="0021370D" w:rsidRPr="0021370D" w:rsidRDefault="0021370D" w:rsidP="0021370D">
      <w:pPr>
        <w:numPr>
          <w:ilvl w:val="0"/>
          <w:numId w:val="9"/>
        </w:numPr>
        <w:spacing w:before="120" w:line="28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370D">
        <w:rPr>
          <w:rFonts w:ascii="Times New Roman" w:hAnsi="Times New Roman" w:cs="Times New Roman"/>
          <w:bCs/>
          <w:sz w:val="22"/>
          <w:szCs w:val="22"/>
        </w:rPr>
        <w:t>doklad (autorizace) osvědčující odbornou způsobilost dodavatele nebo osoby, jejímž prostřednictvím odbornou způsobilost zabezpečuje (zákon č.360/1992 Sb., obor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348">
        <w:rPr>
          <w:rFonts w:ascii="Times New Roman" w:hAnsi="Times New Roman" w:cs="Times New Roman"/>
          <w:b/>
          <w:bCs/>
          <w:sz w:val="22"/>
          <w:szCs w:val="22"/>
        </w:rPr>
        <w:t>dopravní stavby</w:t>
      </w:r>
      <w:r w:rsidRPr="0021370D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Pr="0021370D">
        <w:rPr>
          <w:rFonts w:ascii="Times New Roman" w:hAnsi="Times New Roman" w:cs="Times New Roman"/>
          <w:sz w:val="22"/>
          <w:szCs w:val="22"/>
        </w:rPr>
        <w:t xml:space="preserve">– 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prostá kopie nebo originál či úředně ověřená kopie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8.8.7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Všechny výše uvedené odstavce může dodavatel nahradit prostou kopií nebo originálem nebo úředně ověřeným výpisem ze seznamu kvalifikovaných dodavatelů dle § </w:t>
      </w:r>
      <w:smartTag w:uri="urn:schemas-microsoft-com:office:smarttags" w:element="metricconverter">
        <w:smartTagPr>
          <w:attr w:name="ProductID" w:val="125 a"/>
        </w:smartTagPr>
        <w:r w:rsidR="0021370D" w:rsidRPr="0021370D">
          <w:rPr>
            <w:rFonts w:ascii="Times New Roman" w:hAnsi="Times New Roman" w:cs="Times New Roman"/>
            <w:sz w:val="22"/>
            <w:szCs w:val="22"/>
          </w:rPr>
          <w:t>125 a</w:t>
        </w:r>
      </w:smartTag>
      <w:r w:rsidR="0021370D" w:rsidRPr="0021370D">
        <w:rPr>
          <w:rFonts w:ascii="Times New Roman" w:hAnsi="Times New Roman" w:cs="Times New Roman"/>
          <w:sz w:val="22"/>
          <w:szCs w:val="22"/>
        </w:rPr>
        <w:t xml:space="preserve"> násl., jež nesmí být starší než 90 dnů ke dni prokázání splnění kvalifikace, tj. ke dni otevírání nabídek zadavatelem.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Dodavatelé mohou prokázat splnění kvalifikace certifikátem vydaným v rámci systému certifikovaných dodavatelů, který obsahuje náležitosti stanovené v § 133 zákona, a údaje v něm uvedené jsou platné nejméně k poslednímu dni lhůty pro prokázání splnění kvalifikace. Tento certifikát nahrazuje splnění kvalifikace v rozsahu v něm uvedených údajů. Certifikát dodavatelé předloží ve lhůtě pro prokázání splnění kvalifikace a certifikát musí být platný ve smyslu § 140 odst. 1 zákona, tj. nesmí být starší jak jeden rok.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486C11">
        <w:rPr>
          <w:rFonts w:ascii="Times New Roman" w:hAnsi="Times New Roman" w:cs="Times New Roman"/>
          <w:b/>
          <w:sz w:val="22"/>
          <w:szCs w:val="22"/>
        </w:rPr>
        <w:t>8.8.8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1370D" w:rsidRPr="0021370D">
        <w:rPr>
          <w:rFonts w:ascii="Times New Roman" w:hAnsi="Times New Roman" w:cs="Times New Roman"/>
          <w:b/>
          <w:sz w:val="22"/>
          <w:szCs w:val="22"/>
          <w:u w:val="single"/>
        </w:rPr>
        <w:t>Další kvalifikační kritéria stanovená zadavatelem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a)</w:t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b/>
          <w:sz w:val="22"/>
          <w:szCs w:val="22"/>
        </w:rPr>
        <w:t>Ekonomická a finanční způsobilost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Uchazeč předloží 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čestné prohlášení</w:t>
      </w:r>
      <w:r w:rsidRPr="0021370D">
        <w:rPr>
          <w:rFonts w:ascii="Times New Roman" w:hAnsi="Times New Roman" w:cs="Times New Roman"/>
          <w:sz w:val="22"/>
          <w:szCs w:val="22"/>
        </w:rPr>
        <w:t xml:space="preserve"> o své ekonomické a finanční způsobilosti splnit veřejnou zakázku.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b)</w:t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b/>
          <w:sz w:val="22"/>
          <w:szCs w:val="22"/>
        </w:rPr>
        <w:t xml:space="preserve">Technické kvalifikační požadavky (§ 56) 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1370D">
        <w:rPr>
          <w:rFonts w:ascii="Times New Roman" w:hAnsi="Times New Roman" w:cs="Times New Roman"/>
          <w:sz w:val="22"/>
          <w:szCs w:val="22"/>
        </w:rPr>
        <w:t>Není požadováno</w:t>
      </w:r>
    </w:p>
    <w:p w:rsid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86C11" w:rsidRPr="0021370D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9. Jiné požadavky zadavatele</w:t>
      </w:r>
    </w:p>
    <w:p w:rsidR="0021370D" w:rsidRDefault="00486C11" w:rsidP="0021370D">
      <w:pPr>
        <w:pStyle w:val="Zkladntext3"/>
        <w:rPr>
          <w:sz w:val="22"/>
          <w:szCs w:val="22"/>
        </w:rPr>
      </w:pPr>
      <w:r w:rsidRPr="00486C11">
        <w:rPr>
          <w:sz w:val="22"/>
          <w:szCs w:val="22"/>
        </w:rPr>
        <w:t>9.1</w:t>
      </w:r>
      <w:r>
        <w:rPr>
          <w:sz w:val="22"/>
          <w:szCs w:val="22"/>
          <w:u w:val="single"/>
        </w:rPr>
        <w:t xml:space="preserve"> </w:t>
      </w:r>
      <w:r w:rsidR="0021370D" w:rsidRPr="0021370D">
        <w:rPr>
          <w:sz w:val="22"/>
          <w:szCs w:val="22"/>
          <w:u w:val="single"/>
        </w:rPr>
        <w:t>Obsah nabídek musí být v souladu s § 68 odst. 2 zákona</w:t>
      </w:r>
      <w:r w:rsidR="0021370D" w:rsidRPr="0021370D">
        <w:rPr>
          <w:sz w:val="22"/>
          <w:szCs w:val="22"/>
        </w:rPr>
        <w:t>, tj. v nabídce musí být uvedeny identifikační údaje uchazeče, nabídka bude obsahovat návrh smlouvy podepsaný osobou oprávněnou jednat jménem či za uchazeče (v případě zmocnění jiné osoby či jiných osob k podpisu smlouvy bude součástí dokumentace rovněž v originále nebo úředně ověřené kopii toto zmocnění), součástí nabídky budou též doklady a informace prokazující splnění kvalifikace, stanovené zadavatelem v těchto zadávacích podmínkách.</w:t>
      </w:r>
    </w:p>
    <w:p w:rsidR="00486C11" w:rsidRPr="00486C11" w:rsidRDefault="00486C11" w:rsidP="00486C11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 xml:space="preserve">9.2 </w:t>
      </w:r>
      <w:r w:rsidRPr="00486C11">
        <w:rPr>
          <w:sz w:val="22"/>
          <w:szCs w:val="22"/>
        </w:rPr>
        <w:t>Dodavatel může podat pouze jednu nabídku. V případě, že bude subdodavatelem jiného dodavatele a bude mu prokazovat kvalifikaci a sám podá nabídku, bude tato nabídka ze soutěže komisí vyřazena a zadavatelem následně vyloučena ze zadávacího řízení. Nabídka bude rovněž vyřazena, pokud dodavatel podá více nabídek společně s dalšími dodavateli.</w:t>
      </w:r>
    </w:p>
    <w:p w:rsidR="0021370D" w:rsidRPr="00486C11" w:rsidRDefault="00486C11" w:rsidP="0021370D">
      <w:pPr>
        <w:pStyle w:val="Zkladntext3"/>
        <w:spacing w:after="0"/>
        <w:rPr>
          <w:sz w:val="22"/>
          <w:szCs w:val="22"/>
          <w:u w:val="single"/>
        </w:rPr>
      </w:pPr>
      <w:r w:rsidRPr="00486C11">
        <w:rPr>
          <w:sz w:val="22"/>
          <w:szCs w:val="22"/>
          <w:u w:val="single"/>
        </w:rPr>
        <w:t xml:space="preserve">9.3 </w:t>
      </w:r>
      <w:r w:rsidR="0021370D" w:rsidRPr="00486C11">
        <w:rPr>
          <w:sz w:val="22"/>
          <w:szCs w:val="22"/>
          <w:u w:val="single"/>
        </w:rPr>
        <w:t>Součástí nabídky bude rovněž</w:t>
      </w:r>
      <w:r w:rsidR="0038302A" w:rsidRPr="00486C11">
        <w:rPr>
          <w:sz w:val="22"/>
          <w:szCs w:val="22"/>
          <w:u w:val="single"/>
        </w:rPr>
        <w:t>:</w:t>
      </w:r>
    </w:p>
    <w:p w:rsidR="0021370D" w:rsidRPr="0021370D" w:rsidRDefault="0021370D" w:rsidP="0021370D">
      <w:pPr>
        <w:pStyle w:val="Zkladntext"/>
        <w:tabs>
          <w:tab w:val="left" w:pos="9072"/>
        </w:tabs>
        <w:spacing w:after="0"/>
        <w:rPr>
          <w:sz w:val="22"/>
          <w:szCs w:val="22"/>
        </w:rPr>
      </w:pPr>
      <w:r w:rsidRPr="0021370D">
        <w:rPr>
          <w:sz w:val="22"/>
          <w:szCs w:val="22"/>
        </w:rPr>
        <w:t>a) seznam statutárních orgánů nebo členů statutárních orgánů, kteří v posledních 3 letech od konce lhůty pro podání nabídek byli v pracovněprávním, funkčním či obdobném poměru u zadavatele (pokud tomu tak není, uchazeče uvede, že „seznam nelze sestavit, neboť nikdo u zadavatele v posledních 3 letech nepracoval“)</w:t>
      </w:r>
      <w:r w:rsidRPr="0021370D">
        <w:rPr>
          <w:sz w:val="22"/>
          <w:szCs w:val="22"/>
        </w:rPr>
        <w:br/>
        <w:t>b) má-li dodavatel formu akciové společnosti, seznam vlastníků akcií, jejichž souhrnná jmenovitá hodnota přesahuje 10% základního kapitálu, vyhotovený ve lhůtě pro podání nabídek (pokud uchazeč nemá formu akciové společnosti, tak prohlásí, „seznam akcionářů nelze sestavit, neboť uchazeč nemá formu akciové společnosti“)</w:t>
      </w:r>
      <w:r w:rsidRPr="0021370D">
        <w:rPr>
          <w:sz w:val="22"/>
          <w:szCs w:val="22"/>
        </w:rPr>
        <w:br/>
        <w:t>c) prohlášení uchazeče o tom, že neuzavřel a neuzavře zakázanou dohodu podle zvláštního právního předpisu v souvislosti se zadávanou veřejnou zakázkou</w:t>
      </w:r>
    </w:p>
    <w:p w:rsid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663DEC" w:rsidRDefault="00663DEC" w:rsidP="00486C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63DEC" w:rsidRDefault="00663DEC" w:rsidP="00486C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86C11" w:rsidRPr="00486C11" w:rsidRDefault="00486C11" w:rsidP="00486C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6C11">
        <w:rPr>
          <w:rFonts w:ascii="Times New Roman" w:hAnsi="Times New Roman" w:cs="Times New Roman"/>
          <w:b/>
          <w:bCs/>
          <w:sz w:val="22"/>
          <w:szCs w:val="22"/>
        </w:rPr>
        <w:lastRenderedPageBreak/>
        <w:t>10. Nabídková cena:</w:t>
      </w: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 </w:t>
      </w:r>
      <w:r w:rsidRPr="00486C11">
        <w:rPr>
          <w:sz w:val="22"/>
          <w:szCs w:val="22"/>
        </w:rPr>
        <w:t>Nabídková cena celkem bude zpracována jako cena maximální po celou dobu provádění díla a bude uvedena v členění jako cena bez DPH, výše DPH (základní sazba) a cena včetně DPH.</w:t>
      </w: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 </w:t>
      </w:r>
      <w:r w:rsidRPr="00486C11">
        <w:rPr>
          <w:sz w:val="22"/>
          <w:szCs w:val="22"/>
        </w:rPr>
        <w:t>Výše nabídkové ceny se může změnit pouze v případě legislativních změn sazby DPH.</w:t>
      </w: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 </w:t>
      </w:r>
      <w:r w:rsidRPr="00486C11">
        <w:rPr>
          <w:sz w:val="22"/>
          <w:szCs w:val="22"/>
        </w:rPr>
        <w:t>Nabídková cena bude podložena položkovým rozpočtem, který bude zahrnovat veškeré i vedlejší a ostatní náklady spojené s realizací zakázky vč. veškerých rizik a vlivů během provádění díla.  V ceně bude započítán i projekt skutečného provedení.</w:t>
      </w: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 </w:t>
      </w:r>
      <w:r w:rsidRPr="00486C11">
        <w:rPr>
          <w:sz w:val="22"/>
          <w:szCs w:val="22"/>
        </w:rPr>
        <w:t>Dodavatel ručí za to, že rozpočet bude mít skladbu, členění a rozsah položek v souladu s výkazem výměr poskytnutým zadavatelem do výběrového řízení. Pokud se v budoucnu prokáže, že dodavatel nezapočítal některé položky do rozpočtu, bude se mít za to, že hodnota těchto prováděných položek je 0,- Kč.</w:t>
      </w: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 </w:t>
      </w:r>
      <w:r w:rsidRPr="00486C11">
        <w:rPr>
          <w:sz w:val="22"/>
          <w:szCs w:val="22"/>
        </w:rPr>
        <w:t>Zadavatel neposkytuje zhotoviteli zálohy!</w:t>
      </w: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10.6 </w:t>
      </w:r>
      <w:r w:rsidRPr="00486C11">
        <w:rPr>
          <w:sz w:val="22"/>
          <w:szCs w:val="22"/>
        </w:rPr>
        <w:t>Uchazeč bude provádět fakturaci 1 x měsíčně na základě odsouhlaseného soupisu skutečně provedených prací doplněných zjišťovacím protokolem.</w:t>
      </w: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10.7 </w:t>
      </w:r>
      <w:r w:rsidRPr="00486C11">
        <w:rPr>
          <w:sz w:val="22"/>
          <w:szCs w:val="22"/>
        </w:rPr>
        <w:t>Zadavatel informuje uchazeče, že není subjektem s přenesenou daňovou povinností, proto se budou faktury vystavovat včetně sazby DPH!</w:t>
      </w:r>
    </w:p>
    <w:p w:rsidR="00486C11" w:rsidRPr="0021370D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86C1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>. Poskytnutí zadávací dokumentace – projektová dokumentace, výkaz výměr</w:t>
      </w:r>
    </w:p>
    <w:p w:rsidR="0021370D" w:rsidRPr="0021370D" w:rsidRDefault="00486C11" w:rsidP="00DF03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11.1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Zadávací dokumentace bude zájemcům poskytnuta elektronickou podobou na profilu zadavatele, jehož webová adresa je: </w:t>
      </w:r>
      <w:hyperlink r:id="rId9" w:history="1">
        <w:r w:rsidR="00DF0348" w:rsidRPr="00C444B3">
          <w:rPr>
            <w:rFonts w:ascii="Times New Roman" w:hAnsi="Times New Roman" w:cs="Times New Roman"/>
            <w:b/>
            <w:sz w:val="22"/>
            <w:szCs w:val="22"/>
          </w:rPr>
          <w:t>https://www.softender.cz/home/profil/3758404</w:t>
        </w:r>
      </w:hyperlink>
      <w:r w:rsidR="0021370D" w:rsidRPr="0021370D">
        <w:rPr>
          <w:rFonts w:ascii="Times New Roman" w:hAnsi="Times New Roman" w:cs="Times New Roman"/>
          <w:sz w:val="22"/>
          <w:szCs w:val="22"/>
        </w:rPr>
        <w:t>. Na této adrese budou zveřejněny také případné dodatečné informace. Zadavatel důrazně doporučuje uchazečům sledovat profil zadavatele po celou dobu pro podání nabídek.</w:t>
      </w: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86C1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>. Kontaktní osoby</w:t>
      </w:r>
    </w:p>
    <w:p w:rsidR="0021370D" w:rsidRPr="0021370D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12.1 </w:t>
      </w:r>
      <w:r w:rsidR="0021370D" w:rsidRPr="0021370D">
        <w:rPr>
          <w:rFonts w:ascii="Times New Roman" w:hAnsi="Times New Roman" w:cs="Times New Roman"/>
          <w:b/>
          <w:bCs/>
          <w:sz w:val="22"/>
          <w:szCs w:val="22"/>
        </w:rPr>
        <w:t>Kontaktní osoba ve věcech zadávací dokumentace, dodatečných informací a přijímání nabídek:</w:t>
      </w:r>
    </w:p>
    <w:p w:rsidR="0021370D" w:rsidRPr="0021370D" w:rsidRDefault="00DF0348" w:rsidP="0021370D">
      <w:pPr>
        <w:ind w:left="2880" w:hanging="28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Zdeněk Duhajský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t>, zástup</w:t>
      </w:r>
      <w:r>
        <w:rPr>
          <w:rFonts w:ascii="Times New Roman" w:hAnsi="Times New Roman" w:cs="Times New Roman"/>
          <w:color w:val="000000"/>
          <w:sz w:val="22"/>
          <w:szCs w:val="22"/>
        </w:rPr>
        <w:t>ce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t xml:space="preserve"> zadavatele</w:t>
      </w:r>
    </w:p>
    <w:p w:rsidR="0021370D" w:rsidRPr="0021370D" w:rsidRDefault="0021370D" w:rsidP="0021370D">
      <w:pP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Adresa: OÚ </w:t>
      </w:r>
      <w:r w:rsidR="00DF0348" w:rsidRPr="00DF0348">
        <w:rPr>
          <w:rFonts w:ascii="Times New Roman" w:hAnsi="Times New Roman" w:cs="Times New Roman"/>
          <w:sz w:val="22"/>
          <w:szCs w:val="22"/>
        </w:rPr>
        <w:t>Pavlov</w:t>
      </w:r>
      <w:r w:rsidRPr="00DF0348">
        <w:rPr>
          <w:rFonts w:ascii="Times New Roman" w:hAnsi="Times New Roman" w:cs="Times New Roman"/>
          <w:sz w:val="22"/>
          <w:szCs w:val="22"/>
        </w:rPr>
        <w:t xml:space="preserve">, </w:t>
      </w:r>
      <w:r w:rsidR="00DF0348" w:rsidRPr="00DF0348">
        <w:rPr>
          <w:rFonts w:ascii="Times New Roman" w:hAnsi="Times New Roman" w:cs="Times New Roman"/>
          <w:sz w:val="22"/>
          <w:szCs w:val="22"/>
        </w:rPr>
        <w:t>Na Návsi 88, 692 01 Pavlov</w:t>
      </w:r>
    </w:p>
    <w:p w:rsidR="0021370D" w:rsidRPr="0021370D" w:rsidRDefault="0021370D" w:rsidP="0021370D">
      <w:pPr>
        <w:ind w:left="2880" w:hanging="288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1370D">
        <w:rPr>
          <w:rFonts w:ascii="Times New Roman" w:hAnsi="Times New Roman" w:cs="Times New Roman"/>
          <w:color w:val="000000"/>
          <w:sz w:val="22"/>
          <w:szCs w:val="22"/>
        </w:rPr>
        <w:t>email</w:t>
      </w:r>
      <w:r w:rsidRPr="0021370D">
        <w:rPr>
          <w:rFonts w:ascii="Times New Roman" w:hAnsi="Times New Roman" w:cs="Times New Roman"/>
          <w:sz w:val="22"/>
          <w:szCs w:val="22"/>
        </w:rPr>
        <w:t xml:space="preserve">: </w:t>
      </w:r>
      <w:hyperlink r:id="rId10" w:history="1">
        <w:r w:rsidR="00DF0348" w:rsidRPr="00437204">
          <w:rPr>
            <w:rFonts w:ascii="Times New Roman" w:hAnsi="Times New Roman" w:cs="Times New Roman"/>
          </w:rPr>
          <w:t>podatelna@obec-pavlov.cz</w:t>
        </w:r>
      </w:hyperlink>
    </w:p>
    <w:p w:rsidR="0021370D" w:rsidRPr="00DF0348" w:rsidRDefault="0021370D" w:rsidP="0021370D">
      <w:pP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telefon</w:t>
      </w:r>
      <w:r w:rsidRPr="0021370D">
        <w:rPr>
          <w:rFonts w:ascii="Times New Roman" w:hAnsi="Times New Roman" w:cs="Times New Roman"/>
          <w:b/>
          <w:sz w:val="22"/>
          <w:szCs w:val="22"/>
        </w:rPr>
        <w:t>:</w:t>
      </w:r>
      <w:r w:rsidRPr="0021370D">
        <w:rPr>
          <w:rFonts w:ascii="Times New Roman" w:hAnsi="Times New Roman" w:cs="Times New Roman"/>
          <w:sz w:val="22"/>
          <w:szCs w:val="22"/>
        </w:rPr>
        <w:t xml:space="preserve"> +</w:t>
      </w:r>
      <w:r w:rsidRPr="00DF0348">
        <w:rPr>
          <w:rFonts w:ascii="Times New Roman" w:hAnsi="Times New Roman" w:cs="Times New Roman"/>
          <w:sz w:val="22"/>
          <w:szCs w:val="22"/>
        </w:rPr>
        <w:t xml:space="preserve">420 </w:t>
      </w:r>
      <w:r w:rsidR="00DF0348" w:rsidRPr="00DF0348">
        <w:rPr>
          <w:rFonts w:ascii="Times New Roman" w:hAnsi="Times New Roman" w:cs="Times New Roman"/>
          <w:sz w:val="22"/>
          <w:szCs w:val="22"/>
        </w:rPr>
        <w:t>519 515 252</w:t>
      </w:r>
    </w:p>
    <w:p w:rsidR="00486C11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12.2 </w:t>
      </w:r>
      <w:r w:rsidR="0021370D" w:rsidRPr="0021370D">
        <w:rPr>
          <w:rFonts w:ascii="Times New Roman" w:hAnsi="Times New Roman" w:cs="Times New Roman"/>
          <w:sz w:val="22"/>
          <w:szCs w:val="22"/>
        </w:rPr>
        <w:t>Dodatečné informace k zadávací dokumentaci budou poskytovány na základě písemné žádosti zaslané poštou nebo e-mailem. Dodatečné informace budou poskytnuty v souladu se zákonem po doručení žádosti a budou uveřejněny na profilu zadavatele.</w:t>
      </w:r>
    </w:p>
    <w:p w:rsidR="0021370D" w:rsidRPr="0021370D" w:rsidRDefault="0021370D" w:rsidP="0021370D">
      <w:pPr>
        <w:ind w:left="2880" w:hanging="2880"/>
        <w:jc w:val="both"/>
        <w:rPr>
          <w:rStyle w:val="Hypertextovodkaz"/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86C1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>. Oprávnění zadavatele zrušit zadávací řízení</w:t>
      </w:r>
    </w:p>
    <w:p w:rsidR="0038302A" w:rsidRDefault="00486C11" w:rsidP="0038302A">
      <w:pPr>
        <w:tabs>
          <w:tab w:val="left" w:pos="9072"/>
        </w:tabs>
        <w:jc w:val="both"/>
      </w:pPr>
      <w:r>
        <w:t xml:space="preserve">13.1 </w:t>
      </w:r>
      <w:r w:rsidR="0038302A">
        <w:t>Zadavatel si vyhrazuje právo</w:t>
      </w:r>
    </w:p>
    <w:p w:rsidR="0038302A" w:rsidRPr="0038302A" w:rsidRDefault="0038302A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a) v průběhu lhůty pro podání nabídek měnit, doplnit či upřesnit podmínky zadávacího řízení</w:t>
      </w:r>
    </w:p>
    <w:p w:rsidR="0038302A" w:rsidRPr="0038302A" w:rsidRDefault="0038302A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b) zadávací řízení zrušit bez udání důvodů</w:t>
      </w:r>
    </w:p>
    <w:p w:rsidR="0038302A" w:rsidRPr="0038302A" w:rsidRDefault="0038302A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c) Nevracet uchazečům podané nabídky</w:t>
      </w:r>
    </w:p>
    <w:p w:rsidR="0038302A" w:rsidRPr="0038302A" w:rsidRDefault="0038302A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d) Neuzavřít smlouvu s žádným uchazečem </w:t>
      </w:r>
    </w:p>
    <w:p w:rsidR="00486C11" w:rsidRDefault="00486C11" w:rsidP="0038302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Pr="0038302A" w:rsidRDefault="00486C11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13.2</w:t>
      </w:r>
      <w:r w:rsidR="0038302A" w:rsidRPr="0038302A">
        <w:rPr>
          <w:rFonts w:ascii="Times New Roman" w:hAnsi="Times New Roman" w:cs="Times New Roman"/>
          <w:sz w:val="22"/>
          <w:szCs w:val="22"/>
        </w:rPr>
        <w:t>Nedodržení obsahu nabídky a stanoveného rozsahu a způsobu prokazování kvalifikačních předpokladů uchazeče uvedených v této výzvě, nedodržení položkových výměr v nabídce a reálných cen prací je důvodem k vyřazení nabídky z dalšího posuzování!</w:t>
      </w: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C444B3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Pavlov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 dne </w:t>
      </w:r>
      <w:r w:rsidR="00663DEC">
        <w:rPr>
          <w:rFonts w:ascii="Times New Roman" w:hAnsi="Times New Roman" w:cs="Times New Roman"/>
          <w:sz w:val="22"/>
          <w:szCs w:val="22"/>
        </w:rPr>
        <w:t>4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9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. 2013  </w:t>
      </w:r>
    </w:p>
    <w:p w:rsid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86C11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86C11" w:rsidRPr="0021370D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ind w:left="5304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……….….…………….……………..</w:t>
      </w:r>
    </w:p>
    <w:p w:rsidR="0021370D" w:rsidRPr="0021370D" w:rsidRDefault="00C444B3" w:rsidP="0021370D">
      <w:pPr>
        <w:ind w:left="53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Zdeněk Duhajský</w:t>
      </w:r>
      <w:r w:rsidR="0021370D" w:rsidRPr="0021370D">
        <w:rPr>
          <w:rFonts w:ascii="Times New Roman" w:hAnsi="Times New Roman" w:cs="Times New Roman"/>
          <w:sz w:val="22"/>
          <w:szCs w:val="22"/>
        </w:rPr>
        <w:t>, starosta obce</w:t>
      </w:r>
    </w:p>
    <w:p w:rsidR="00A902CD" w:rsidRPr="0021370D" w:rsidRDefault="00A902CD" w:rsidP="00B1546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Default="0038302A" w:rsidP="00B15467">
      <w:pPr>
        <w:jc w:val="both"/>
        <w:rPr>
          <w:rFonts w:ascii="Times New Roman" w:hAnsi="Times New Roman" w:cs="Times New Roman"/>
          <w:sz w:val="22"/>
          <w:szCs w:val="22"/>
        </w:rPr>
        <w:sectPr w:rsidR="0038302A" w:rsidSect="00E700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302A" w:rsidRDefault="0038302A" w:rsidP="0038302A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lastRenderedPageBreak/>
        <w:t>Formulář</w:t>
      </w:r>
      <w:r>
        <w:rPr>
          <w:b/>
          <w:sz w:val="40"/>
          <w:szCs w:val="40"/>
        </w:rPr>
        <w:t xml:space="preserve"> - Krycí list nabídky - </w:t>
      </w:r>
      <w:r>
        <w:rPr>
          <w:sz w:val="40"/>
          <w:szCs w:val="40"/>
        </w:rPr>
        <w:t>pro právnické osoby</w:t>
      </w:r>
    </w:p>
    <w:p w:rsidR="0038302A" w:rsidRDefault="0038302A" w:rsidP="0038302A">
      <w:pPr>
        <w:jc w:val="center"/>
        <w:rPr>
          <w:b/>
        </w:rPr>
      </w:pPr>
      <w:r>
        <w:rPr>
          <w:b/>
        </w:rPr>
        <w:t>pro veřejnou zakázku malého rozsahu na stavební práce</w:t>
      </w:r>
    </w:p>
    <w:p w:rsidR="0038302A" w:rsidRDefault="0038302A" w:rsidP="0038302A">
      <w:pPr>
        <w:jc w:val="center"/>
        <w:rPr>
          <w:b/>
        </w:rPr>
      </w:pPr>
    </w:p>
    <w:tbl>
      <w:tblPr>
        <w:tblW w:w="949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38302A" w:rsidTr="00C81CDA">
        <w:trPr>
          <w:trHeight w:val="44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8302A" w:rsidRDefault="0038302A" w:rsidP="00C81CDA">
            <w:pPr>
              <w:rPr>
                <w:b/>
                <w:i/>
              </w:rPr>
            </w:pPr>
            <w:r>
              <w:rPr>
                <w:b/>
                <w:i/>
              </w:rPr>
              <w:t>Předmět veřejné zakázky: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38302A" w:rsidRPr="0038302A" w:rsidRDefault="0038302A" w:rsidP="0038302A">
            <w:pPr>
              <w:pStyle w:val="Nadpis3"/>
              <w:spacing w:before="60" w:after="0"/>
              <w:jc w:val="center"/>
              <w:rPr>
                <w:i/>
                <w:iCs/>
                <w:caps/>
                <w:sz w:val="32"/>
                <w:szCs w:val="32"/>
              </w:rPr>
            </w:pPr>
            <w:r w:rsidRPr="0038302A">
              <w:rPr>
                <w:rFonts w:ascii="Times New Roman" w:hAnsi="Times New Roman" w:cs="Times New Roman"/>
                <w:sz w:val="32"/>
                <w:szCs w:val="32"/>
              </w:rPr>
              <w:t>Pavlov – opravy stávajících vozovek</w:t>
            </w:r>
          </w:p>
        </w:tc>
      </w:tr>
    </w:tbl>
    <w:p w:rsidR="0038302A" w:rsidRDefault="0038302A" w:rsidP="0038302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4707"/>
      </w:tblGrid>
      <w:tr w:rsidR="0038302A" w:rsidTr="00C81CDA">
        <w:trPr>
          <w:trHeight w:val="251"/>
        </w:trPr>
        <w:tc>
          <w:tcPr>
            <w:tcW w:w="952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  <w:r>
              <w:rPr>
                <w:b/>
              </w:rPr>
              <w:t>Uchazeč o veřejnou zakázku</w:t>
            </w:r>
          </w:p>
        </w:tc>
      </w:tr>
      <w:tr w:rsidR="0038302A" w:rsidTr="00C81CDA">
        <w:trPr>
          <w:trHeight w:val="1200"/>
        </w:trPr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Obchodní firma </w:t>
            </w:r>
          </w:p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nebo název</w:t>
            </w:r>
          </w:p>
        </w:tc>
        <w:tc>
          <w:tcPr>
            <w:tcW w:w="6408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1200"/>
        </w:trPr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Sídlo </w:t>
            </w:r>
          </w:p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(celá adresa včetně PSČ) </w:t>
            </w:r>
          </w:p>
        </w:tc>
        <w:tc>
          <w:tcPr>
            <w:tcW w:w="6408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90"/>
        </w:trPr>
        <w:tc>
          <w:tcPr>
            <w:tcW w:w="3119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Právní forma</w:t>
            </w:r>
          </w:p>
        </w:tc>
        <w:tc>
          <w:tcPr>
            <w:tcW w:w="6408" w:type="dxa"/>
            <w:gridSpan w:val="2"/>
            <w:tcBorders>
              <w:top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90"/>
        </w:trPr>
        <w:tc>
          <w:tcPr>
            <w:tcW w:w="3119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Identifikační číslo</w:t>
            </w:r>
          </w:p>
        </w:tc>
        <w:tc>
          <w:tcPr>
            <w:tcW w:w="6408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90"/>
        </w:trPr>
        <w:tc>
          <w:tcPr>
            <w:tcW w:w="3119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Daňové identifikační číslo</w:t>
            </w:r>
          </w:p>
        </w:tc>
        <w:tc>
          <w:tcPr>
            <w:tcW w:w="6408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1266"/>
        </w:trPr>
        <w:tc>
          <w:tcPr>
            <w:tcW w:w="3119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6408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36"/>
        </w:trPr>
        <w:tc>
          <w:tcPr>
            <w:tcW w:w="952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38302A">
            <w:pPr>
              <w:jc w:val="center"/>
              <w:rPr>
                <w:b/>
              </w:rPr>
            </w:pPr>
            <w:r>
              <w:rPr>
                <w:b/>
              </w:rPr>
              <w:t>Základní hodnotící kritérium – nejnižší nabídková cena bez DPH</w:t>
            </w:r>
          </w:p>
        </w:tc>
      </w:tr>
      <w:tr w:rsidR="0038302A" w:rsidTr="00C81CDA">
        <w:trPr>
          <w:trHeight w:val="555"/>
        </w:trPr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2A" w:rsidRPr="00F46455" w:rsidRDefault="0038302A" w:rsidP="00C81CDA">
            <w:r w:rsidRPr="00F46455">
              <w:t>Celková nabídková cena bez DPH</w:t>
            </w:r>
          </w:p>
        </w:tc>
        <w:tc>
          <w:tcPr>
            <w:tcW w:w="47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</w:p>
        </w:tc>
      </w:tr>
      <w:tr w:rsidR="0038302A" w:rsidTr="00C81CDA">
        <w:trPr>
          <w:trHeight w:val="5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38302A" w:rsidRDefault="0038302A" w:rsidP="00C81CDA">
            <w:r>
              <w:t>DPH ve výši 21 %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555"/>
        </w:trPr>
        <w:tc>
          <w:tcPr>
            <w:tcW w:w="482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8302A" w:rsidRDefault="0038302A" w:rsidP="00C81CDA">
            <w:r>
              <w:t>DPH ve výši 15 %</w:t>
            </w:r>
          </w:p>
        </w:tc>
        <w:tc>
          <w:tcPr>
            <w:tcW w:w="470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  <w:r>
              <w:t>0,-</w:t>
            </w:r>
          </w:p>
        </w:tc>
      </w:tr>
      <w:tr w:rsidR="0038302A" w:rsidTr="00C81CDA">
        <w:trPr>
          <w:trHeight w:val="555"/>
        </w:trPr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rPr>
                <w:b/>
              </w:rPr>
            </w:pPr>
            <w:r>
              <w:rPr>
                <w:b/>
              </w:rPr>
              <w:t>Celková nabídková cena</w:t>
            </w:r>
            <w:r>
              <w:rPr>
                <w:b/>
              </w:rPr>
              <w:br/>
              <w:t>(včetně DPH)</w:t>
            </w:r>
          </w:p>
        </w:tc>
        <w:tc>
          <w:tcPr>
            <w:tcW w:w="47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</w:p>
        </w:tc>
      </w:tr>
    </w:tbl>
    <w:p w:rsidR="0038302A" w:rsidRDefault="0038302A" w:rsidP="0038302A">
      <w:pPr>
        <w:rPr>
          <w:i/>
          <w:iCs/>
        </w:rPr>
      </w:pPr>
      <w:r>
        <w:rPr>
          <w:i/>
          <w:iCs/>
        </w:rPr>
        <w:t>V případě, že nabídku podává společně více uchazečů, přiřadí do tohoto krycího listu, ke každé identifikační kolonce pořadové číslo každému jednotlivému uchazeči!</w:t>
      </w:r>
    </w:p>
    <w:p w:rsidR="0038302A" w:rsidRDefault="0038302A" w:rsidP="0038302A"/>
    <w:p w:rsidR="0038302A" w:rsidRDefault="0038302A" w:rsidP="0038302A"/>
    <w:p w:rsidR="0038302A" w:rsidRDefault="0038302A" w:rsidP="0038302A">
      <w:r>
        <w:t>V ……………………,   dne ……………</w:t>
      </w:r>
    </w:p>
    <w:p w:rsidR="0038302A" w:rsidRDefault="0038302A" w:rsidP="0038302A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302A" w:rsidRDefault="0038302A" w:rsidP="0038302A">
      <w:pPr>
        <w:ind w:left="4254" w:firstLine="709"/>
      </w:pPr>
    </w:p>
    <w:p w:rsidR="0038302A" w:rsidRDefault="0038302A" w:rsidP="0038302A">
      <w:pPr>
        <w:ind w:left="4254" w:firstLine="709"/>
      </w:pPr>
    </w:p>
    <w:p w:rsidR="0038302A" w:rsidRDefault="0038302A" w:rsidP="0038302A">
      <w:pPr>
        <w:ind w:left="4254" w:firstLine="709"/>
      </w:pPr>
    </w:p>
    <w:p w:rsidR="0038302A" w:rsidRDefault="0038302A" w:rsidP="0038302A">
      <w:pPr>
        <w:ind w:left="4254" w:firstLine="709"/>
      </w:pPr>
      <w:r>
        <w:tab/>
        <w:t xml:space="preserve">          ……………............…………………….</w:t>
      </w:r>
    </w:p>
    <w:p w:rsidR="0038302A" w:rsidRDefault="0038302A" w:rsidP="0038302A">
      <w:pPr>
        <w:sectPr w:rsidR="0038302A">
          <w:pgSz w:w="11906" w:h="16838" w:code="9"/>
          <w:pgMar w:top="1134" w:right="1134" w:bottom="1134" w:left="1134" w:header="709" w:footer="709" w:gutter="0"/>
          <w:cols w:space="708"/>
        </w:sectPr>
      </w:pPr>
      <w:r>
        <w:t xml:space="preserve">                                                                                                 </w:t>
      </w:r>
      <w:r>
        <w:tab/>
      </w:r>
      <w:r>
        <w:tab/>
        <w:t>Razítko a podpis uchazeče</w:t>
      </w:r>
    </w:p>
    <w:p w:rsidR="0038302A" w:rsidRDefault="0038302A" w:rsidP="0038302A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lastRenderedPageBreak/>
        <w:t>Formulář</w:t>
      </w:r>
      <w:r>
        <w:rPr>
          <w:b/>
          <w:sz w:val="40"/>
          <w:szCs w:val="40"/>
        </w:rPr>
        <w:t xml:space="preserve"> - Krycí list nabídky - </w:t>
      </w:r>
      <w:r>
        <w:rPr>
          <w:sz w:val="40"/>
          <w:szCs w:val="40"/>
        </w:rPr>
        <w:t>pro fyzické osoby</w:t>
      </w:r>
    </w:p>
    <w:p w:rsidR="0038302A" w:rsidRDefault="0038302A" w:rsidP="0038302A">
      <w:pPr>
        <w:jc w:val="center"/>
        <w:rPr>
          <w:b/>
        </w:rPr>
      </w:pPr>
      <w:r>
        <w:rPr>
          <w:b/>
        </w:rPr>
        <w:t>pro veřejnou zakázku malého rozsahu na stavební práce</w:t>
      </w:r>
    </w:p>
    <w:p w:rsidR="0038302A" w:rsidRDefault="0038302A" w:rsidP="0038302A">
      <w:pPr>
        <w:jc w:val="center"/>
        <w:rPr>
          <w:b/>
        </w:rPr>
      </w:pPr>
    </w:p>
    <w:tbl>
      <w:tblPr>
        <w:tblW w:w="9497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379"/>
      </w:tblGrid>
      <w:tr w:rsidR="0038302A" w:rsidTr="00C81CDA">
        <w:trPr>
          <w:trHeight w:val="440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8302A" w:rsidRDefault="0038302A" w:rsidP="00C81CDA">
            <w:pPr>
              <w:rPr>
                <w:b/>
                <w:i/>
              </w:rPr>
            </w:pPr>
            <w:r>
              <w:rPr>
                <w:b/>
                <w:i/>
              </w:rPr>
              <w:t>Předmět veřejné zakázky: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38302A" w:rsidRPr="00334877" w:rsidRDefault="0038302A" w:rsidP="0038302A">
            <w:pPr>
              <w:pStyle w:val="Nadpis3"/>
              <w:spacing w:before="60" w:after="0"/>
              <w:jc w:val="center"/>
              <w:rPr>
                <w:i/>
                <w:iCs/>
                <w:caps/>
                <w:sz w:val="28"/>
                <w:szCs w:val="28"/>
              </w:rPr>
            </w:pPr>
            <w:r w:rsidRPr="0038302A">
              <w:rPr>
                <w:rFonts w:ascii="Times New Roman" w:hAnsi="Times New Roman" w:cs="Times New Roman"/>
                <w:sz w:val="32"/>
                <w:szCs w:val="32"/>
              </w:rPr>
              <w:t>Pavlov – opravy stávajících vozovek</w:t>
            </w:r>
          </w:p>
        </w:tc>
      </w:tr>
    </w:tbl>
    <w:p w:rsidR="0038302A" w:rsidRDefault="0038302A" w:rsidP="0038302A"/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4678"/>
      </w:tblGrid>
      <w:tr w:rsidR="0038302A" w:rsidTr="00C81CDA">
        <w:trPr>
          <w:trHeight w:val="251"/>
        </w:trPr>
        <w:tc>
          <w:tcPr>
            <w:tcW w:w="949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  <w:r>
              <w:rPr>
                <w:b/>
              </w:rPr>
              <w:t>Uchazeč o veřejnou zakázku</w:t>
            </w:r>
          </w:p>
        </w:tc>
      </w:tr>
      <w:tr w:rsidR="0038302A" w:rsidTr="00C81CDA">
        <w:trPr>
          <w:trHeight w:val="1125"/>
        </w:trPr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příjmení,</w:t>
            </w:r>
          </w:p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případně obchodní firma</w:t>
            </w:r>
          </w:p>
        </w:tc>
        <w:tc>
          <w:tcPr>
            <w:tcW w:w="6379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1125"/>
        </w:trPr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Bydliště, případně místo podnikání, je-li odlišné</w:t>
            </w:r>
          </w:p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 bydliště</w:t>
            </w:r>
          </w:p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(celá adresa včetně PSČ) </w:t>
            </w:r>
          </w:p>
        </w:tc>
        <w:tc>
          <w:tcPr>
            <w:tcW w:w="6379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609"/>
        </w:trPr>
        <w:tc>
          <w:tcPr>
            <w:tcW w:w="3118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Rodné číslo nebo</w:t>
            </w:r>
          </w:p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6379" w:type="dxa"/>
            <w:gridSpan w:val="2"/>
            <w:tcBorders>
              <w:top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47"/>
        </w:trPr>
        <w:tc>
          <w:tcPr>
            <w:tcW w:w="3118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Identifikační číslo</w:t>
            </w:r>
          </w:p>
        </w:tc>
        <w:tc>
          <w:tcPr>
            <w:tcW w:w="6379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57"/>
        </w:trPr>
        <w:tc>
          <w:tcPr>
            <w:tcW w:w="3118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Daňové identifikační číslo</w:t>
            </w:r>
          </w:p>
        </w:tc>
        <w:tc>
          <w:tcPr>
            <w:tcW w:w="6379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36"/>
        </w:trPr>
        <w:tc>
          <w:tcPr>
            <w:tcW w:w="949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38302A">
            <w:pPr>
              <w:jc w:val="center"/>
              <w:rPr>
                <w:b/>
              </w:rPr>
            </w:pPr>
            <w:r>
              <w:rPr>
                <w:b/>
              </w:rPr>
              <w:t>Základní hodnotící kritérium – nejnižší nabídková cena bez DPH</w:t>
            </w:r>
          </w:p>
        </w:tc>
      </w:tr>
      <w:tr w:rsidR="0038302A" w:rsidTr="00C81CDA">
        <w:trPr>
          <w:trHeight w:val="570"/>
        </w:trPr>
        <w:tc>
          <w:tcPr>
            <w:tcW w:w="481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2A" w:rsidRDefault="0038302A" w:rsidP="00C81CDA">
            <w:pPr>
              <w:rPr>
                <w:b/>
                <w:bCs/>
              </w:rPr>
            </w:pPr>
            <w:r w:rsidRPr="00F46455">
              <w:t>Celková nabídková cena bez DPH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</w:p>
        </w:tc>
      </w:tr>
      <w:tr w:rsidR="0038302A" w:rsidTr="00C81CDA">
        <w:trPr>
          <w:trHeight w:val="57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38302A" w:rsidRDefault="0038302A" w:rsidP="00C81CDA">
            <w:r>
              <w:t>DPH ve výši 21 %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570"/>
        </w:trPr>
        <w:tc>
          <w:tcPr>
            <w:tcW w:w="4819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8302A" w:rsidRDefault="0038302A" w:rsidP="00C81CDA">
            <w:r>
              <w:t>DPH ve výši 15 %</w:t>
            </w:r>
          </w:p>
        </w:tc>
        <w:tc>
          <w:tcPr>
            <w:tcW w:w="4678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  <w:r>
              <w:t>0,-</w:t>
            </w:r>
          </w:p>
        </w:tc>
      </w:tr>
      <w:tr w:rsidR="0038302A" w:rsidTr="00C81CDA">
        <w:trPr>
          <w:trHeight w:val="570"/>
        </w:trPr>
        <w:tc>
          <w:tcPr>
            <w:tcW w:w="48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rPr>
                <w:b/>
              </w:rPr>
            </w:pPr>
            <w:r>
              <w:rPr>
                <w:b/>
              </w:rPr>
              <w:t>Celková nabídková cena</w:t>
            </w:r>
            <w:r>
              <w:rPr>
                <w:b/>
              </w:rPr>
              <w:br/>
              <w:t>(včetně DPH)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8302A" w:rsidRDefault="0038302A" w:rsidP="00C81CDA">
            <w:pPr>
              <w:jc w:val="center"/>
              <w:rPr>
                <w:b/>
                <w:highlight w:val="lightGray"/>
              </w:rPr>
            </w:pPr>
          </w:p>
        </w:tc>
      </w:tr>
    </w:tbl>
    <w:p w:rsidR="0038302A" w:rsidRDefault="0038302A" w:rsidP="0038302A">
      <w:pPr>
        <w:ind w:left="284"/>
        <w:rPr>
          <w:i/>
          <w:iCs/>
        </w:rPr>
      </w:pPr>
      <w:r>
        <w:rPr>
          <w:i/>
          <w:iCs/>
        </w:rPr>
        <w:t>V případě, že nabídku podává společně více uchazečů, přiřadí do tohoto krycího listu, ke každé identifikační kolonce pořadové číslo každému jednotlivému uchazeči!</w:t>
      </w:r>
    </w:p>
    <w:p w:rsidR="0038302A" w:rsidRDefault="0038302A" w:rsidP="0038302A"/>
    <w:p w:rsidR="0038302A" w:rsidRDefault="0038302A" w:rsidP="0038302A"/>
    <w:p w:rsidR="0038302A" w:rsidRDefault="0038302A" w:rsidP="0038302A"/>
    <w:p w:rsidR="0038302A" w:rsidRDefault="0038302A" w:rsidP="0038302A">
      <w:pPr>
        <w:ind w:left="284"/>
      </w:pPr>
      <w:r>
        <w:t>V ……………………,   dne ……………</w:t>
      </w:r>
    </w:p>
    <w:p w:rsidR="0038302A" w:rsidRDefault="0038302A" w:rsidP="0038302A"/>
    <w:p w:rsidR="0038302A" w:rsidRDefault="0038302A" w:rsidP="0038302A"/>
    <w:p w:rsidR="00663DEC" w:rsidRDefault="00663DEC" w:rsidP="0038302A"/>
    <w:p w:rsidR="0038302A" w:rsidRDefault="0038302A" w:rsidP="0038302A"/>
    <w:p w:rsidR="0038302A" w:rsidRDefault="0038302A" w:rsidP="0038302A"/>
    <w:p w:rsidR="00663DEC" w:rsidRDefault="00663DEC" w:rsidP="0038302A"/>
    <w:p w:rsidR="00663DEC" w:rsidRDefault="00663DEC" w:rsidP="0038302A"/>
    <w:p w:rsidR="0038302A" w:rsidRDefault="0038302A" w:rsidP="003830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……………..........…………………….</w:t>
      </w:r>
    </w:p>
    <w:p w:rsidR="0038302A" w:rsidRDefault="0038302A" w:rsidP="0038302A">
      <w:pPr>
        <w:rPr>
          <w:sz w:val="40"/>
          <w:szCs w:val="40"/>
        </w:rPr>
      </w:pPr>
      <w:r>
        <w:t xml:space="preserve">                                                                                                 </w:t>
      </w:r>
      <w:r>
        <w:tab/>
        <w:t>Razítko a podpis uchazeče</w:t>
      </w:r>
    </w:p>
    <w:p w:rsidR="00A902CD" w:rsidRPr="0021370D" w:rsidRDefault="00A902CD" w:rsidP="00B15467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902CD" w:rsidRPr="0021370D" w:rsidSect="00663DEC">
      <w:pgSz w:w="11906" w:h="16838"/>
      <w:pgMar w:top="1110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06" w:rsidRDefault="00064706" w:rsidP="00663DEC">
      <w:r>
        <w:separator/>
      </w:r>
    </w:p>
  </w:endnote>
  <w:endnote w:type="continuationSeparator" w:id="0">
    <w:p w:rsidR="00064706" w:rsidRDefault="00064706" w:rsidP="0066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06" w:rsidRDefault="00064706" w:rsidP="00663DEC">
      <w:r>
        <w:separator/>
      </w:r>
    </w:p>
  </w:footnote>
  <w:footnote w:type="continuationSeparator" w:id="0">
    <w:p w:rsidR="00064706" w:rsidRDefault="00064706" w:rsidP="0066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1A8"/>
    <w:multiLevelType w:val="hybridMultilevel"/>
    <w:tmpl w:val="13BC5D62"/>
    <w:lvl w:ilvl="0" w:tplc="0405000F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>
    <w:nsid w:val="0ED96054"/>
    <w:multiLevelType w:val="hybridMultilevel"/>
    <w:tmpl w:val="A964F84A"/>
    <w:lvl w:ilvl="0" w:tplc="BA7C9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24C58"/>
    <w:multiLevelType w:val="hybridMultilevel"/>
    <w:tmpl w:val="FC223CE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B7138"/>
    <w:multiLevelType w:val="hybridMultilevel"/>
    <w:tmpl w:val="E75A2CD0"/>
    <w:lvl w:ilvl="0" w:tplc="D6AAE9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C2C16"/>
    <w:multiLevelType w:val="hybridMultilevel"/>
    <w:tmpl w:val="E3862056"/>
    <w:lvl w:ilvl="0" w:tplc="0E70221E">
      <w:start w:val="1"/>
      <w:numFmt w:val="decimal"/>
      <w:lvlText w:val="6.%1"/>
      <w:lvlJc w:val="right"/>
      <w:pPr>
        <w:tabs>
          <w:tab w:val="num" w:pos="709"/>
        </w:tabs>
        <w:ind w:left="709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D0E53"/>
    <w:multiLevelType w:val="hybridMultilevel"/>
    <w:tmpl w:val="86EC7C6E"/>
    <w:lvl w:ilvl="0" w:tplc="0BD08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F3183F"/>
    <w:multiLevelType w:val="hybridMultilevel"/>
    <w:tmpl w:val="CE7AAAEC"/>
    <w:lvl w:ilvl="0" w:tplc="4B6A78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60036"/>
    <w:multiLevelType w:val="hybridMultilevel"/>
    <w:tmpl w:val="761CABF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55D354CA"/>
    <w:multiLevelType w:val="hybridMultilevel"/>
    <w:tmpl w:val="A1BAF32E"/>
    <w:lvl w:ilvl="0" w:tplc="DF2A0B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A1006C"/>
    <w:multiLevelType w:val="hybridMultilevel"/>
    <w:tmpl w:val="6688EF3A"/>
    <w:lvl w:ilvl="0" w:tplc="73E69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E6E94"/>
    <w:multiLevelType w:val="hybridMultilevel"/>
    <w:tmpl w:val="6D48E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626EF"/>
    <w:multiLevelType w:val="hybridMultilevel"/>
    <w:tmpl w:val="D080622C"/>
    <w:lvl w:ilvl="0" w:tplc="3FE46C86">
      <w:start w:val="1"/>
      <w:numFmt w:val="decimal"/>
      <w:lvlText w:val="5.%1"/>
      <w:lvlJc w:val="right"/>
      <w:pPr>
        <w:tabs>
          <w:tab w:val="num" w:pos="709"/>
        </w:tabs>
        <w:ind w:left="709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F10E30"/>
    <w:multiLevelType w:val="hybridMultilevel"/>
    <w:tmpl w:val="870C663A"/>
    <w:lvl w:ilvl="0" w:tplc="238294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EC"/>
    <w:rsid w:val="000238E8"/>
    <w:rsid w:val="000608DB"/>
    <w:rsid w:val="000628AE"/>
    <w:rsid w:val="00064706"/>
    <w:rsid w:val="00146CB3"/>
    <w:rsid w:val="001879E7"/>
    <w:rsid w:val="00194C43"/>
    <w:rsid w:val="0021370D"/>
    <w:rsid w:val="0026598D"/>
    <w:rsid w:val="00270EBE"/>
    <w:rsid w:val="002A213E"/>
    <w:rsid w:val="002B0CBC"/>
    <w:rsid w:val="002F25E8"/>
    <w:rsid w:val="00330B1E"/>
    <w:rsid w:val="00364007"/>
    <w:rsid w:val="003735CD"/>
    <w:rsid w:val="0038302A"/>
    <w:rsid w:val="003907A7"/>
    <w:rsid w:val="003A5A26"/>
    <w:rsid w:val="003D715B"/>
    <w:rsid w:val="003E3C69"/>
    <w:rsid w:val="00433DB0"/>
    <w:rsid w:val="00437204"/>
    <w:rsid w:val="00441C9D"/>
    <w:rsid w:val="00474F71"/>
    <w:rsid w:val="0048436D"/>
    <w:rsid w:val="00486C11"/>
    <w:rsid w:val="005D015A"/>
    <w:rsid w:val="00651A8B"/>
    <w:rsid w:val="00663DEC"/>
    <w:rsid w:val="00696584"/>
    <w:rsid w:val="00742AD4"/>
    <w:rsid w:val="00747FAA"/>
    <w:rsid w:val="007D71B8"/>
    <w:rsid w:val="007E676F"/>
    <w:rsid w:val="008F22E6"/>
    <w:rsid w:val="009637EC"/>
    <w:rsid w:val="009726EE"/>
    <w:rsid w:val="009806C9"/>
    <w:rsid w:val="009C0097"/>
    <w:rsid w:val="009F74E9"/>
    <w:rsid w:val="00A2776B"/>
    <w:rsid w:val="00A823C6"/>
    <w:rsid w:val="00A902CD"/>
    <w:rsid w:val="00B15467"/>
    <w:rsid w:val="00B37320"/>
    <w:rsid w:val="00B95DC0"/>
    <w:rsid w:val="00C064BF"/>
    <w:rsid w:val="00C25D97"/>
    <w:rsid w:val="00C444B3"/>
    <w:rsid w:val="00C61527"/>
    <w:rsid w:val="00CD344D"/>
    <w:rsid w:val="00D32163"/>
    <w:rsid w:val="00D52450"/>
    <w:rsid w:val="00D574B5"/>
    <w:rsid w:val="00D9216E"/>
    <w:rsid w:val="00DB539A"/>
    <w:rsid w:val="00DE2ADE"/>
    <w:rsid w:val="00DF0348"/>
    <w:rsid w:val="00E0158E"/>
    <w:rsid w:val="00E12EFF"/>
    <w:rsid w:val="00E36739"/>
    <w:rsid w:val="00E700CA"/>
    <w:rsid w:val="00EB203E"/>
    <w:rsid w:val="00EB5416"/>
    <w:rsid w:val="00EC2979"/>
    <w:rsid w:val="00EC36D1"/>
    <w:rsid w:val="00EE5C7E"/>
    <w:rsid w:val="00F22BB5"/>
    <w:rsid w:val="00F338B4"/>
    <w:rsid w:val="00F8294E"/>
    <w:rsid w:val="00FC4D11"/>
    <w:rsid w:val="00FD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n">
    <w:name w:val="Normal"/>
    <w:qFormat/>
    <w:rsid w:val="00A2776B"/>
    <w:rPr>
      <w:rFonts w:cs="Calibr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776B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776B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2776B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277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277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277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2776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277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2776B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2776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A277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2776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A2776B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A2776B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A2776B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A2776B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A2776B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A2776B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99"/>
    <w:qFormat/>
    <w:rsid w:val="00A2776B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A2776B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A2776B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titulChar">
    <w:name w:val="Podtitul Char"/>
    <w:basedOn w:val="Standardnpsmoodstavce"/>
    <w:link w:val="Podtitul"/>
    <w:uiPriority w:val="99"/>
    <w:rsid w:val="00A2776B"/>
    <w:rPr>
      <w:rFonts w:ascii="Cambria" w:hAnsi="Cambria" w:cs="Cambria"/>
      <w:sz w:val="24"/>
      <w:szCs w:val="24"/>
    </w:rPr>
  </w:style>
  <w:style w:type="character" w:styleId="Siln">
    <w:name w:val="Strong"/>
    <w:basedOn w:val="Standardnpsmoodstavce"/>
    <w:uiPriority w:val="99"/>
    <w:qFormat/>
    <w:rsid w:val="00A2776B"/>
    <w:rPr>
      <w:b/>
      <w:bCs/>
    </w:rPr>
  </w:style>
  <w:style w:type="character" w:styleId="Zvraznn">
    <w:name w:val="Emphasis"/>
    <w:basedOn w:val="Standardnpsmoodstavce"/>
    <w:uiPriority w:val="99"/>
    <w:qFormat/>
    <w:rsid w:val="00A2776B"/>
    <w:rPr>
      <w:rFonts w:ascii="Calibri" w:hAnsi="Calibri" w:cs="Calibri"/>
      <w:b/>
      <w:bCs/>
      <w:i/>
      <w:iCs/>
    </w:rPr>
  </w:style>
  <w:style w:type="paragraph" w:styleId="Bezmezer">
    <w:name w:val="No Spacing"/>
    <w:basedOn w:val="Normln"/>
    <w:uiPriority w:val="99"/>
    <w:qFormat/>
    <w:rsid w:val="00A2776B"/>
  </w:style>
  <w:style w:type="paragraph" w:styleId="Odstavecseseznamem">
    <w:name w:val="List Paragraph"/>
    <w:basedOn w:val="Normln"/>
    <w:uiPriority w:val="99"/>
    <w:qFormat/>
    <w:rsid w:val="00A2776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A2776B"/>
    <w:rPr>
      <w:i/>
      <w:iCs/>
    </w:rPr>
  </w:style>
  <w:style w:type="character" w:customStyle="1" w:styleId="CittChar">
    <w:name w:val="Citát Char"/>
    <w:basedOn w:val="Standardnpsmoodstavce"/>
    <w:link w:val="Citt"/>
    <w:uiPriority w:val="99"/>
    <w:rsid w:val="00A2776B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A2776B"/>
    <w:pPr>
      <w:ind w:left="720" w:right="72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rsid w:val="00A2776B"/>
    <w:rPr>
      <w:b/>
      <w:bCs/>
      <w:i/>
      <w:iCs/>
      <w:sz w:val="24"/>
      <w:szCs w:val="24"/>
    </w:rPr>
  </w:style>
  <w:style w:type="character" w:styleId="Zdraznnjemn">
    <w:name w:val="Subtle Emphasis"/>
    <w:basedOn w:val="Standardnpsmoodstavce"/>
    <w:uiPriority w:val="99"/>
    <w:qFormat/>
    <w:rsid w:val="00A2776B"/>
    <w:rPr>
      <w:i/>
      <w:iCs/>
      <w:color w:val="5A5A5A"/>
    </w:rPr>
  </w:style>
  <w:style w:type="character" w:styleId="Zdraznnintenzivn">
    <w:name w:val="Intense Emphasis"/>
    <w:basedOn w:val="Standardnpsmoodstavce"/>
    <w:uiPriority w:val="99"/>
    <w:qFormat/>
    <w:rsid w:val="00A2776B"/>
    <w:rPr>
      <w:b/>
      <w:bCs/>
      <w:i/>
      <w:iCs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A2776B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A2776B"/>
    <w:rPr>
      <w:b/>
      <w:bCs/>
      <w:sz w:val="24"/>
      <w:szCs w:val="24"/>
      <w:u w:val="single"/>
    </w:rPr>
  </w:style>
  <w:style w:type="character" w:styleId="Nzevknihy">
    <w:name w:val="Book Title"/>
    <w:basedOn w:val="Standardnpsmoodstavce"/>
    <w:uiPriority w:val="99"/>
    <w:qFormat/>
    <w:rsid w:val="00A2776B"/>
    <w:rPr>
      <w:rFonts w:ascii="Cambria" w:hAnsi="Cambria" w:cs="Cambria"/>
      <w:b/>
      <w:bCs/>
      <w:i/>
      <w:i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A2776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4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B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46CB3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137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370D"/>
    <w:rPr>
      <w:rFonts w:ascii="Times New Roman" w:eastAsia="Times New Roman" w:hAnsi="Times New Roman"/>
      <w:sz w:val="20"/>
      <w:szCs w:val="20"/>
    </w:rPr>
  </w:style>
  <w:style w:type="character" w:customStyle="1" w:styleId="skypepnhrightspan">
    <w:name w:val="skype_pnh_right_span"/>
    <w:basedOn w:val="Standardnpsmoodstavce"/>
    <w:rsid w:val="0021370D"/>
  </w:style>
  <w:style w:type="paragraph" w:styleId="Zkladntext">
    <w:name w:val="Body Text"/>
    <w:basedOn w:val="Normln"/>
    <w:link w:val="ZkladntextChar"/>
    <w:uiPriority w:val="99"/>
    <w:semiHidden/>
    <w:unhideWhenUsed/>
    <w:rsid w:val="0021370D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370D"/>
    <w:rPr>
      <w:rFonts w:ascii="Times New Roman" w:eastAsia="Times New Roman" w:hAnsi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370D"/>
    <w:pPr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370D"/>
    <w:rPr>
      <w:rFonts w:ascii="Times New Roman" w:eastAsia="Times New Roman" w:hAnsi="Times New Roman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63D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3DEC"/>
    <w:rPr>
      <w:rFonts w:cs="Calibri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63D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3DEC"/>
    <w:rPr>
      <w:rFonts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n">
    <w:name w:val="Normal"/>
    <w:qFormat/>
    <w:rsid w:val="00A2776B"/>
    <w:rPr>
      <w:rFonts w:cs="Calibr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776B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776B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2776B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277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277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277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2776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277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2776B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2776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A277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2776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A2776B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A2776B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A2776B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A2776B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A2776B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A2776B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99"/>
    <w:qFormat/>
    <w:rsid w:val="00A2776B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A2776B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A2776B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titulChar">
    <w:name w:val="Podtitul Char"/>
    <w:basedOn w:val="Standardnpsmoodstavce"/>
    <w:link w:val="Podtitul"/>
    <w:uiPriority w:val="99"/>
    <w:rsid w:val="00A2776B"/>
    <w:rPr>
      <w:rFonts w:ascii="Cambria" w:hAnsi="Cambria" w:cs="Cambria"/>
      <w:sz w:val="24"/>
      <w:szCs w:val="24"/>
    </w:rPr>
  </w:style>
  <w:style w:type="character" w:styleId="Siln">
    <w:name w:val="Strong"/>
    <w:basedOn w:val="Standardnpsmoodstavce"/>
    <w:uiPriority w:val="99"/>
    <w:qFormat/>
    <w:rsid w:val="00A2776B"/>
    <w:rPr>
      <w:b/>
      <w:bCs/>
    </w:rPr>
  </w:style>
  <w:style w:type="character" w:styleId="Zvraznn">
    <w:name w:val="Emphasis"/>
    <w:basedOn w:val="Standardnpsmoodstavce"/>
    <w:uiPriority w:val="99"/>
    <w:qFormat/>
    <w:rsid w:val="00A2776B"/>
    <w:rPr>
      <w:rFonts w:ascii="Calibri" w:hAnsi="Calibri" w:cs="Calibri"/>
      <w:b/>
      <w:bCs/>
      <w:i/>
      <w:iCs/>
    </w:rPr>
  </w:style>
  <w:style w:type="paragraph" w:styleId="Bezmezer">
    <w:name w:val="No Spacing"/>
    <w:basedOn w:val="Normln"/>
    <w:uiPriority w:val="99"/>
    <w:qFormat/>
    <w:rsid w:val="00A2776B"/>
  </w:style>
  <w:style w:type="paragraph" w:styleId="Odstavecseseznamem">
    <w:name w:val="List Paragraph"/>
    <w:basedOn w:val="Normln"/>
    <w:uiPriority w:val="99"/>
    <w:qFormat/>
    <w:rsid w:val="00A2776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A2776B"/>
    <w:rPr>
      <w:i/>
      <w:iCs/>
    </w:rPr>
  </w:style>
  <w:style w:type="character" w:customStyle="1" w:styleId="CittChar">
    <w:name w:val="Citát Char"/>
    <w:basedOn w:val="Standardnpsmoodstavce"/>
    <w:link w:val="Citt"/>
    <w:uiPriority w:val="99"/>
    <w:rsid w:val="00A2776B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A2776B"/>
    <w:pPr>
      <w:ind w:left="720" w:right="72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rsid w:val="00A2776B"/>
    <w:rPr>
      <w:b/>
      <w:bCs/>
      <w:i/>
      <w:iCs/>
      <w:sz w:val="24"/>
      <w:szCs w:val="24"/>
    </w:rPr>
  </w:style>
  <w:style w:type="character" w:styleId="Zdraznnjemn">
    <w:name w:val="Subtle Emphasis"/>
    <w:basedOn w:val="Standardnpsmoodstavce"/>
    <w:uiPriority w:val="99"/>
    <w:qFormat/>
    <w:rsid w:val="00A2776B"/>
    <w:rPr>
      <w:i/>
      <w:iCs/>
      <w:color w:val="5A5A5A"/>
    </w:rPr>
  </w:style>
  <w:style w:type="character" w:styleId="Zdraznnintenzivn">
    <w:name w:val="Intense Emphasis"/>
    <w:basedOn w:val="Standardnpsmoodstavce"/>
    <w:uiPriority w:val="99"/>
    <w:qFormat/>
    <w:rsid w:val="00A2776B"/>
    <w:rPr>
      <w:b/>
      <w:bCs/>
      <w:i/>
      <w:iCs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A2776B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A2776B"/>
    <w:rPr>
      <w:b/>
      <w:bCs/>
      <w:sz w:val="24"/>
      <w:szCs w:val="24"/>
      <w:u w:val="single"/>
    </w:rPr>
  </w:style>
  <w:style w:type="character" w:styleId="Nzevknihy">
    <w:name w:val="Book Title"/>
    <w:basedOn w:val="Standardnpsmoodstavce"/>
    <w:uiPriority w:val="99"/>
    <w:qFormat/>
    <w:rsid w:val="00A2776B"/>
    <w:rPr>
      <w:rFonts w:ascii="Cambria" w:hAnsi="Cambria" w:cs="Cambria"/>
      <w:b/>
      <w:bCs/>
      <w:i/>
      <w:i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A2776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4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B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46CB3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137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370D"/>
    <w:rPr>
      <w:rFonts w:ascii="Times New Roman" w:eastAsia="Times New Roman" w:hAnsi="Times New Roman"/>
      <w:sz w:val="20"/>
      <w:szCs w:val="20"/>
    </w:rPr>
  </w:style>
  <w:style w:type="character" w:customStyle="1" w:styleId="skypepnhrightspan">
    <w:name w:val="skype_pnh_right_span"/>
    <w:basedOn w:val="Standardnpsmoodstavce"/>
    <w:rsid w:val="0021370D"/>
  </w:style>
  <w:style w:type="paragraph" w:styleId="Zkladntext">
    <w:name w:val="Body Text"/>
    <w:basedOn w:val="Normln"/>
    <w:link w:val="ZkladntextChar"/>
    <w:uiPriority w:val="99"/>
    <w:semiHidden/>
    <w:unhideWhenUsed/>
    <w:rsid w:val="0021370D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370D"/>
    <w:rPr>
      <w:rFonts w:ascii="Times New Roman" w:eastAsia="Times New Roman" w:hAnsi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370D"/>
    <w:pPr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370D"/>
    <w:rPr>
      <w:rFonts w:ascii="Times New Roman" w:eastAsia="Times New Roman" w:hAnsi="Times New Roman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63D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3DEC"/>
    <w:rPr>
      <w:rFonts w:cs="Calibri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63D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3DEC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bec-pavlo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obec-pavl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tender.cz/home/profil/375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2975</Words>
  <Characters>17553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č</vt:lpstr>
    </vt:vector>
  </TitlesOfParts>
  <Company>Hewlett-Packard Company</Company>
  <LinksUpToDate>false</LinksUpToDate>
  <CharactersWithSpaces>20488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č</dc:title>
  <dc:subject/>
  <dc:creator>jana.buresova</dc:creator>
  <cp:keywords/>
  <dc:description/>
  <cp:lastModifiedBy>Jaroslava Prágerová</cp:lastModifiedBy>
  <cp:revision>2</cp:revision>
  <cp:lastPrinted>2013-09-04T09:26:00Z</cp:lastPrinted>
  <dcterms:created xsi:type="dcterms:W3CDTF">2013-09-05T08:21:00Z</dcterms:created>
  <dcterms:modified xsi:type="dcterms:W3CDTF">2013-09-05T08:21:00Z</dcterms:modified>
</cp:coreProperties>
</file>